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800"/>
        <w:jc w:val="center"/>
      </w:pPr>
      <w:r>
        <w:rPr>
          <w:rFonts w:ascii="Calibri" w:cs="Calibri" w:eastAsia="Calibri" w:hAnsi="Calibri"/>
          <w:b/>
          <w:bCs/>
          <w:color w:val="437A22"/>
          <w:sz w:val="30"/>
          <w:szCs w:val="30"/>
        </w:rPr>
        <w:t xml:space="preserve">LIVRE BLANC</w:t>
      </w:r>
    </w:p>
    <w:p>
      <w:pPr>
        <w:pBdr>
          <w:bottom w:val="single" w:color="1B5E20" w:sz="12"/>
        </w:pBdr>
        <w:spacing w:after="0" w:before="100"/>
        <w:jc w:val="center"/>
      </w:pPr>
    </w:p>
    <w:p>
      <w:pPr>
        <w:spacing w:after="0" w:before="320"/>
        <w:jc w:val="center"/>
      </w:pPr>
      <w:r>
        <w:rPr>
          <w:rFonts w:ascii="Calibri" w:cs="Calibri" w:eastAsia="Calibri" w:hAnsi="Calibri"/>
          <w:b/>
          <w:bCs/>
          <w:color w:val="1B5E20"/>
          <w:sz w:val="56"/>
          <w:szCs w:val="56"/>
        </w:rPr>
        <w:t xml:space="preserve">Les mécanismes de financement</w:t>
      </w:r>
    </w:p>
    <w:p>
      <w:pPr>
        <w:spacing w:after="0" w:before="60"/>
        <w:jc w:val="center"/>
      </w:pPr>
      <w:r>
        <w:rPr>
          <w:rFonts w:ascii="Calibri" w:cs="Calibri" w:eastAsia="Calibri" w:hAnsi="Calibri"/>
          <w:b/>
          <w:bCs/>
          <w:color w:val="1B5E20"/>
          <w:sz w:val="56"/>
          <w:szCs w:val="56"/>
        </w:rPr>
        <w:t xml:space="preserve">des projets agricoles en Tunisie</w:t>
      </w:r>
    </w:p>
    <w:p>
      <w:pPr>
        <w:spacing w:after="0" w:before="360"/>
        <w:jc w:val="center"/>
      </w:pPr>
      <w:r>
        <w:rPr>
          <w:rFonts w:ascii="Calibri" w:cs="Calibri" w:eastAsia="Calibri" w:hAnsi="Calibri"/>
          <w:i/>
          <w:iCs/>
          <w:color w:val="5F5E58"/>
          <w:sz w:val="28"/>
          <w:szCs w:val="28"/>
        </w:rPr>
        <w:t xml:space="preserve">Guide pratique de l'entrepreneur agricole</w:t>
      </w:r>
    </w:p>
    <w:p>
      <w:pPr>
        <w:spacing w:after="0" w:before="200"/>
        <w:jc w:val="center"/>
      </w:pPr>
      <w:r>
        <w:rPr>
          <w:rFonts w:ascii="Calibri" w:cs="Calibri" w:eastAsia="Calibri" w:hAnsi="Calibri"/>
          <w:color w:val="437A22"/>
          <w:sz w:val="19"/>
          <w:szCs w:val="19"/>
        </w:rPr>
        <w:t xml:space="preserve">Subventions · Crédits · Avantages fiscaux · Microfinance · Capital-risque · Bailleurs internationaux</w:t>
      </w:r>
    </w:p>
    <w:p>
      <w:pPr>
        <w:spacing w:after="0" w:before="1500"/>
        <w:jc w:val="center"/>
      </w:pPr>
      <w:r>
        <w:rPr>
          <w:rFonts w:ascii="Calibri" w:cs="Calibri" w:eastAsia="Calibri" w:hAnsi="Calibri"/>
          <w:b/>
          <w:bCs/>
          <w:color w:val="28251D"/>
          <w:sz w:val="22"/>
          <w:szCs w:val="22"/>
        </w:rPr>
        <w:t xml:space="preserve">Édition 2026</w:t>
      </w:r>
    </w:p>
    <w:p>
      <w:pPr>
        <w:spacing w:after="0" w:before="80"/>
        <w:jc w:val="center"/>
      </w:pPr>
      <w:r>
        <w:rPr>
          <w:rFonts w:ascii="Calibri" w:cs="Calibri" w:eastAsia="Calibri" w:hAnsi="Calibri"/>
          <w:color w:val="5F5E58"/>
          <w:sz w:val="18"/>
          <w:szCs w:val="18"/>
        </w:rPr>
        <w:t xml:space="preserve">À destination des jeunes promoteurs, agriculteurs, SMSA/GDA, PME agroalimentaires et investisseurs</w:t>
      </w:r>
    </w:p>
    <w:p>
      <w:pPr>
        <w:pageBreakBefore/>
        <w:spacing w:after="200"/>
      </w:pPr>
      <w:r>
        <w:rPr>
          <w:rFonts w:ascii="Calibri" w:cs="Calibri" w:eastAsia="Calibri" w:hAnsi="Calibri"/>
          <w:b/>
          <w:bCs/>
          <w:color w:val="1B5E20"/>
          <w:sz w:val="34"/>
          <w:szCs w:val="34"/>
        </w:rPr>
        <w:t xml:space="preserve">Sommaire</w:t>
      </w:r>
    </w:p>
    <w:sdt>
      <w:sdtPr>
        <w:alias w:val="Sommaire"/>
      </w:sdtPr>
      <w:sdtContent>
        <w:p>
          <w:r>
            <w:fldChar w:fldCharType="begin" w:dirty="true"/>
            <w:instrText xml:space="preserve">TOC \h \o "1-2"</w:instrText>
            <w:fldChar w:fldCharType="separate"/>
          </w:r>
        </w:p>
        <w:p>
          <w:r>
            <w:fldChar w:fldCharType="end"/>
          </w:r>
        </w:p>
      </w:sdtContent>
    </w:sdt>
    <w:p>
      <w:pPr>
        <w:pageBreakBefore/>
      </w:pPr>
    </w:p>
    <w:p>
      <w:pPr>
        <w:pStyle w:val="Heading2"/>
      </w:pPr>
      <w:r>
        <w:rPr>
          <w:rFonts w:ascii="Calibri" w:cs="Calibri" w:eastAsia="Calibri" w:hAnsi="Calibri"/>
          <w:b/>
          <w:bCs/>
          <w:color w:val="28251D"/>
          <w:sz w:val="26"/>
          <w:szCs w:val="26"/>
        </w:rPr>
        <w:t xml:space="preserve">Avertissement et mode d'emploi</w:t>
      </w:r>
    </w:p>
    <w:p>
      <w:pPr>
        <w:spacing w:after="120" w:line="276"/>
      </w:pPr>
      <w:r>
        <w:rPr>
          <w:rFonts w:ascii="Calibri" w:cs="Calibri" w:eastAsia="Calibri" w:hAnsi="Calibri"/>
          <w:color w:val="28251D"/>
          <w:sz w:val="21"/>
          <w:szCs w:val="21"/>
        </w:rPr>
        <w:t xml:space="preserve">Ce livre blanc a pour vocation de servir de guide d'orientation aux entrepreneurs du secteur agricole en Tunisie. Il rassemble, de manière structurée, les principaux mécanismes de financement mobilisables pour créer, étendre ou moderniser un projet agricole, agroalimentaire ou de pêche.</w:t>
      </w:r>
    </w:p>
    <w:p>
      <w:pPr>
        <w:spacing w:after="120" w:line="276"/>
      </w:pPr>
      <w:r>
        <w:rPr>
          <w:rFonts w:ascii="Calibri" w:cs="Calibri" w:eastAsia="Calibri" w:hAnsi="Calibri"/>
          <w:color w:val="28251D"/>
          <w:sz w:val="21"/>
          <w:szCs w:val="21"/>
        </w:rPr>
        <w:t xml:space="preserve">Les montants, taux, plafonds et conditions cités sont issus des sources officielles disponibles (APIA, BTS, BFPME, TIA, ministère des Finances, SOTUGAR) à la date d'édition. La réglementation fiscale et les barèmes d'incitation évoluant régulièrement, il est impératif de vérifier les chiffres applicables auprès de l'organisme concerné avant tout engagement, et de se faire accompagner par un expert-comptable pour le montage du dossier.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5E20" w:sz="4"/>
              <w:left w:val="single" w:color="1B5E20" w:sz="18"/>
              <w:bottom w:val="single" w:color="1B5E20" w:sz="4"/>
              <w:right w:val="single" w:color="1B5E20" w:sz="4"/>
            </w:tcBorders>
            <w:shd w:fill="E8F0E3" w:color="auto" w:val="clear"/>
            <w:tcMar>
              <w:top w:type="dxa" w:w="120"/>
              <w:left w:type="dxa" w:w="200"/>
              <w:bottom w:type="dxa" w:w="120"/>
              <w:right w:type="dxa" w:w="160"/>
            </w:tcMar>
          </w:tcPr>
          <w:p>
            <w:pPr>
              <w:spacing w:after="60"/>
            </w:pPr>
            <w:r>
              <w:rPr>
                <w:rFonts w:ascii="Calibri" w:cs="Calibri" w:eastAsia="Calibri" w:hAnsi="Calibri"/>
                <w:b/>
                <w:bCs/>
                <w:color w:val="1B5E20"/>
                <w:sz w:val="21"/>
                <w:szCs w:val="21"/>
              </w:rPr>
              <w:t xml:space="preserve">Comment lire ce guide</w:t>
            </w:r>
          </w:p>
          <w:p>
            <w:pPr>
              <w:spacing w:after="50" w:line="268"/>
            </w:pPr>
            <w:r>
              <w:rPr>
                <w:rFonts w:ascii="Calibri" w:cs="Calibri" w:eastAsia="Calibri" w:hAnsi="Calibri"/>
                <w:color w:val="28251D"/>
                <w:sz w:val="20"/>
                <w:szCs w:val="20"/>
              </w:rPr>
              <w:t xml:space="preserve">• Chapitres 1 à 3 : panorama du secteur, cartographie des financeurs et logique de structuration financière.</w:t>
            </w:r>
          </w:p>
          <w:p>
            <w:pPr>
              <w:spacing w:after="50" w:line="268"/>
            </w:pPr>
            <w:r>
              <w:rPr>
                <w:rFonts w:ascii="Calibri" w:cs="Calibri" w:eastAsia="Calibri" w:hAnsi="Calibri"/>
                <w:color w:val="28251D"/>
                <w:sz w:val="20"/>
                <w:szCs w:val="20"/>
              </w:rPr>
              <w:t xml:space="preserve">• Chapitres 4 à 8 : présentation détaillée de chaque famille de financement (subventions APIA, crédits bancaires, leasing, microfinance, capital-risque, Startup Act, bailleurs internationaux).</w:t>
            </w:r>
          </w:p>
          <w:p>
            <w:pPr>
              <w:spacing w:after="50" w:line="268"/>
            </w:pPr>
            <w:r>
              <w:rPr>
                <w:rFonts w:ascii="Calibri" w:cs="Calibri" w:eastAsia="Calibri" w:hAnsi="Calibri"/>
                <w:color w:val="28251D"/>
                <w:sz w:val="20"/>
                <w:szCs w:val="20"/>
              </w:rPr>
              <w:t xml:space="preserve">• Chapitre 9 : avantages fiscaux applicables au secteur agricole.</w:t>
            </w:r>
          </w:p>
          <w:p>
            <w:pPr>
              <w:spacing w:after="50" w:line="268"/>
            </w:pPr>
            <w:r>
              <w:rPr>
                <w:rFonts w:ascii="Calibri" w:cs="Calibri" w:eastAsia="Calibri" w:hAnsi="Calibri"/>
                <w:color w:val="28251D"/>
                <w:sz w:val="20"/>
                <w:szCs w:val="20"/>
              </w:rPr>
              <w:t xml:space="preserve">• Chapitres 10 à 12 : démarches pratiques, montage du dossier, études de cas et annuaire des organismes.</w:t>
            </w:r>
          </w:p>
        </w:tc>
      </w:tr>
    </w:tbl>
    <w:p>
      <w:pPr>
        <w:pStyle w:val="Heading1"/>
      </w:pPr>
      <w:r>
        <w:rPr>
          <w:rFonts w:ascii="Calibri" w:cs="Calibri" w:eastAsia="Calibri" w:hAnsi="Calibri"/>
          <w:b/>
          <w:bCs/>
          <w:color w:val="1B5E20"/>
          <w:sz w:val="32"/>
          <w:szCs w:val="32"/>
        </w:rPr>
        <w:t xml:space="preserve">1. Le secteur agricole tunisien et ses enjeux de financement</w:t>
      </w:r>
    </w:p>
    <w:p>
      <w:pPr>
        <w:pStyle w:val="Heading3"/>
      </w:pPr>
      <w:r>
        <w:rPr>
          <w:rFonts w:ascii="Calibri" w:cs="Calibri" w:eastAsia="Calibri" w:hAnsi="Calibri"/>
          <w:b/>
          <w:bCs/>
          <w:color w:val="437A22"/>
          <w:sz w:val="22"/>
          <w:szCs w:val="22"/>
        </w:rPr>
        <w:t xml:space="preserve">1.1 Un secteur stratégique</w:t>
      </w:r>
    </w:p>
    <w:p>
      <w:pPr>
        <w:spacing w:after="120" w:line="276"/>
      </w:pPr>
      <w:r>
        <w:rPr>
          <w:rFonts w:ascii="Calibri" w:cs="Calibri" w:eastAsia="Calibri" w:hAnsi="Calibri"/>
          <w:color w:val="28251D"/>
          <w:sz w:val="21"/>
          <w:szCs w:val="21"/>
        </w:rPr>
        <w:t xml:space="preserve">L'agriculture occupe une place centrale dans l'économie tunisienne : sécurité alimentaire, emploi rural, équilibre des régions intérieures et apport en devises par l'exportation (huile d'olive, dattes, agrumes, produits de la mer). Le secteur reste néanmoins confronté à un besoin structurel de financement, à la fragmentation des exploitations et à la pression croissante sur la ressource en eau.</w:t>
      </w:r>
    </w:p>
    <w:p>
      <w:pPr>
        <w:pStyle w:val="Heading3"/>
      </w:pPr>
      <w:r>
        <w:rPr>
          <w:rFonts w:ascii="Calibri" w:cs="Calibri" w:eastAsia="Calibri" w:hAnsi="Calibri"/>
          <w:b/>
          <w:bCs/>
          <w:color w:val="437A22"/>
          <w:sz w:val="22"/>
          <w:szCs w:val="22"/>
        </w:rPr>
        <w:t xml:space="preserve">1.2 Pourquoi le financement est le nerf de la guerre</w:t>
      </w:r>
    </w:p>
    <w:p>
      <w:pPr>
        <w:spacing w:after="120" w:line="276"/>
      </w:pPr>
      <w:r>
        <w:rPr>
          <w:rFonts w:ascii="Calibri" w:cs="Calibri" w:eastAsia="Calibri" w:hAnsi="Calibri"/>
          <w:color w:val="28251D"/>
          <w:sz w:val="21"/>
          <w:szCs w:val="21"/>
        </w:rPr>
        <w:t xml:space="preserve">Un projet agricole se caractérise par un cycle long, une saisonnalité marquée des recettes, une forte exposition aux aléas climatiques et un besoin important en immobilisations (terre, équipements, irrigation, cheptel, plantations). Ces spécificités rendent le financement à la fois indispensable et délicat à structurer. L'enjeu pour le promoteur est de combiner intelligemment plusieurs sources : fonds propres, subventions de l'État, crédit bancaire, leasing et, le cas échéant, capital-risque ou microfinance.</w:t>
      </w:r>
    </w:p>
    <w:p>
      <w:pPr>
        <w:pStyle w:val="Heading3"/>
      </w:pPr>
      <w:r>
        <w:rPr>
          <w:rFonts w:ascii="Calibri" w:cs="Calibri" w:eastAsia="Calibri" w:hAnsi="Calibri"/>
          <w:b/>
          <w:bCs/>
          <w:color w:val="437A22"/>
          <w:sz w:val="22"/>
          <w:szCs w:val="22"/>
        </w:rPr>
        <w:t xml:space="preserve">1.3 La logique du financement « mixte »</w:t>
      </w:r>
    </w:p>
    <w:p>
      <w:pPr>
        <w:spacing w:after="120" w:line="276"/>
      </w:pPr>
      <w:r>
        <w:rPr>
          <w:rFonts w:ascii="Calibri" w:cs="Calibri" w:eastAsia="Calibri" w:hAnsi="Calibri"/>
          <w:color w:val="28251D"/>
          <w:sz w:val="21"/>
          <w:szCs w:val="21"/>
        </w:rPr>
        <w:t xml:space="preserve">En Tunisie, le financement d'un projet agricole repose rarement sur une seule source. Le modèle dominant est un montage à trois étages : un autofinancement (apport personnel), une prime/subvention publique (notamment via l'APIA) et un crédit bancaire à moyen ou long terme. Ce schéma, parfois complété par du leasing ou du capital-risque, permet de réduire le coût global du financement et d'améliorer la rentabilité du projet.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5E20" w:sz="4"/>
              <w:left w:val="single" w:color="1B5E20" w:sz="18"/>
              <w:bottom w:val="single" w:color="1B5E20" w:sz="4"/>
              <w:right w:val="single" w:color="1B5E20" w:sz="4"/>
            </w:tcBorders>
            <w:shd w:fill="E8F0E3" w:color="auto" w:val="clear"/>
            <w:tcMar>
              <w:top w:type="dxa" w:w="120"/>
              <w:left w:type="dxa" w:w="200"/>
              <w:bottom w:type="dxa" w:w="120"/>
              <w:right w:type="dxa" w:w="160"/>
            </w:tcMar>
          </w:tcPr>
          <w:p>
            <w:pPr>
              <w:spacing w:after="60"/>
            </w:pPr>
            <w:r>
              <w:rPr>
                <w:rFonts w:ascii="Calibri" w:cs="Calibri" w:eastAsia="Calibri" w:hAnsi="Calibri"/>
                <w:b/>
                <w:bCs/>
                <w:color w:val="1B5E20"/>
                <w:sz w:val="21"/>
                <w:szCs w:val="21"/>
              </w:rPr>
              <w:t xml:space="preserve">Le triangle du financement agricole</w:t>
            </w:r>
          </w:p>
          <w:p>
            <w:pPr>
              <w:spacing w:after="50" w:line="268"/>
            </w:pPr>
            <w:r>
              <w:rPr>
                <w:rFonts w:ascii="Calibri" w:cs="Calibri" w:eastAsia="Calibri" w:hAnsi="Calibri"/>
                <w:color w:val="28251D"/>
                <w:sz w:val="20"/>
                <w:szCs w:val="20"/>
              </w:rPr>
              <w:t xml:space="preserve">1. AUTOFINANCEMENT — apport du promoteur (de 10 % pour les petits projets de catégorie A à 30 % pour les grands projets).</w:t>
            </w:r>
          </w:p>
          <w:p>
            <w:pPr>
              <w:spacing w:after="50" w:line="268"/>
            </w:pPr>
            <w:r>
              <w:rPr>
                <w:rFonts w:ascii="Calibri" w:cs="Calibri" w:eastAsia="Calibri" w:hAnsi="Calibri"/>
                <w:color w:val="28251D"/>
                <w:sz w:val="20"/>
                <w:szCs w:val="20"/>
              </w:rPr>
              <w:t xml:space="preserve">2. SUBVENTION PUBLIQUE — primes APIA (jusqu'à 25-30 % de l'investissement) et avantages fiscaux.</w:t>
            </w:r>
          </w:p>
          <w:p>
            <w:pPr>
              <w:spacing w:after="50" w:line="268"/>
            </w:pPr>
            <w:r>
              <w:rPr>
                <w:rFonts w:ascii="Calibri" w:cs="Calibri" w:eastAsia="Calibri" w:hAnsi="Calibri"/>
                <w:color w:val="28251D"/>
                <w:sz w:val="20"/>
                <w:szCs w:val="20"/>
              </w:rPr>
              <w:t xml:space="preserve">3. CRÉDIT — financement bancaire à moyen/long terme (BNA, BTS, BFPME) ou leasing pour le matériel.</w:t>
            </w:r>
          </w:p>
        </w:tc>
      </w:tr>
    </w:tbl>
    <w:p>
      <w:pPr>
        <w:pStyle w:val="Heading1"/>
      </w:pPr>
      <w:r>
        <w:rPr>
          <w:rFonts w:ascii="Calibri" w:cs="Calibri" w:eastAsia="Calibri" w:hAnsi="Calibri"/>
          <w:b/>
          <w:bCs/>
          <w:color w:val="1B5E20"/>
          <w:sz w:val="32"/>
          <w:szCs w:val="32"/>
        </w:rPr>
        <w:t xml:space="preserve">2. Cartographie des acteurs du financement agricole</w:t>
      </w:r>
    </w:p>
    <w:p>
      <w:pPr>
        <w:spacing w:after="120" w:line="276"/>
      </w:pPr>
      <w:r>
        <w:rPr>
          <w:rFonts w:ascii="Calibri" w:cs="Calibri" w:eastAsia="Calibri" w:hAnsi="Calibri"/>
          <w:color w:val="28251D"/>
          <w:sz w:val="21"/>
          <w:szCs w:val="21"/>
        </w:rPr>
        <w:t xml:space="preserve">Avant de détailler chaque dispositif, il est utile de comprendre « qui fait quoi ». L'écosystème tunisien du financement agricole se compose d'agences publiques, de banques, d'institutions de microfinance, de sociétés de leasing, de fonds de capital-risque et de bailleurs internationaux.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4360"/>
        <w:gridCol w:w="3100"/>
      </w:tblGrid>
      <w:tr>
        <w:trPr>
          <w:tblHeader/>
        </w:trPr>
        <w:tc>
          <w:tcPr>
            <w:tcW w:type="dxa" w:w="19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Acteur</w:t>
            </w:r>
          </w:p>
        </w:tc>
        <w:tc>
          <w:tcPr>
            <w:tcW w:type="dxa" w:w="43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Rôle principal</w:t>
            </w:r>
          </w:p>
        </w:tc>
        <w:tc>
          <w:tcPr>
            <w:tcW w:type="dxa" w:w="31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Pour quel type de projet</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APIA</w:t>
            </w:r>
          </w:p>
        </w:tc>
        <w:tc>
          <w:tcPr>
            <w:tcW w:type="dxa" w:w="4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Agence de promotion des investissements agricoles : octroi des primes/subventions, attestation de dépôt de déclaration, étude technique</w:t>
            </w:r>
          </w:p>
        </w:tc>
        <w:tc>
          <w:tcPr>
            <w:tcW w:type="dxa" w:w="31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Tous projets agricoles, pêche, aquaculture, services et 1ère transformation</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BNA</w:t>
            </w:r>
          </w:p>
        </w:tc>
        <w:tc>
          <w:tcPr>
            <w:tcW w:type="dxa" w:w="4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Banque Nationale Agricole : crédit de campagne et crédit d'investissement, banquier de référence des céréaliers</w:t>
            </w:r>
          </w:p>
        </w:tc>
        <w:tc>
          <w:tcPr>
            <w:tcW w:type="dxa" w:w="31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Grandes cultures, céréales, exploitations établies</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BTS Bank</w:t>
            </w:r>
          </w:p>
        </w:tc>
        <w:tc>
          <w:tcPr>
            <w:tcW w:type="dxa" w:w="4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Banque de financement des petits projets (Agri-Invest) sans garantie réelle</w:t>
            </w:r>
          </w:p>
        </w:tc>
        <w:tc>
          <w:tcPr>
            <w:tcW w:type="dxa" w:w="31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Jeunes promoteurs, petits projets (≤ 200 000 DT)</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BFPME</w:t>
            </w:r>
          </w:p>
        </w:tc>
        <w:tc>
          <w:tcPr>
            <w:tcW w:type="dxa" w:w="4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Banque de financement des PME : CMLT et prêts participatifs</w:t>
            </w:r>
          </w:p>
        </w:tc>
        <w:tc>
          <w:tcPr>
            <w:tcW w:type="dxa" w:w="31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PME agricoles et agroalimentaires (100 k–15 M DT)</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FTI</w:t>
            </w:r>
          </w:p>
        </w:tc>
        <w:tc>
          <w:tcPr>
            <w:tcW w:type="dxa" w:w="4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Fonds Tunisien d'Investissement : participation au capital et prêt foncier agricole</w:t>
            </w:r>
          </w:p>
        </w:tc>
        <w:tc>
          <w:tcPr>
            <w:tcW w:type="dxa" w:w="31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Création/extension, achat de terres</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SOTUGAR</w:t>
            </w:r>
          </w:p>
        </w:tc>
        <w:tc>
          <w:tcPr>
            <w:tcW w:type="dxa" w:w="4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Société tunisienne de garantie : garantit les crédits et participations</w:t>
            </w:r>
          </w:p>
        </w:tc>
        <w:tc>
          <w:tcPr>
            <w:tcW w:type="dxa" w:w="31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PME, startups, projets manquant de garanties</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IMF (Enda…)</w:t>
            </w:r>
          </w:p>
        </w:tc>
        <w:tc>
          <w:tcPr>
            <w:tcW w:type="dxa" w:w="4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Institutions de microfinance : micro-crédits agricoles</w:t>
            </w:r>
          </w:p>
        </w:tc>
        <w:tc>
          <w:tcPr>
            <w:tcW w:type="dxa" w:w="31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Petits agriculteurs, exploitations familiales</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Sociétés de leasing</w:t>
            </w:r>
          </w:p>
        </w:tc>
        <w:tc>
          <w:tcPr>
            <w:tcW w:type="dxa" w:w="4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Financement du matériel agricole (jusqu'à 100 %)</w:t>
            </w:r>
          </w:p>
        </w:tc>
        <w:tc>
          <w:tcPr>
            <w:tcW w:type="dxa" w:w="31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Tracteurs, équipements, matériel roulant</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SICAR / FCPR</w:t>
            </w:r>
          </w:p>
        </w:tc>
        <w:tc>
          <w:tcPr>
            <w:tcW w:type="dxa" w:w="4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Capital-risque : renforcement des fonds propres</w:t>
            </w:r>
          </w:p>
        </w:tc>
        <w:tc>
          <w:tcPr>
            <w:tcW w:type="dxa" w:w="31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Projets structurants, agritech, à fort potentiel</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Bailleurs (FIDA, BM…)</w:t>
            </w:r>
          </w:p>
        </w:tc>
        <w:tc>
          <w:tcPr>
            <w:tcW w:type="dxa" w:w="4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Programmes de développement rural et lignes de crédit</w:t>
            </w:r>
          </w:p>
        </w:tc>
        <w:tc>
          <w:tcPr>
            <w:tcW w:type="dxa" w:w="31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Petits producteurs, filières, résilience hydrique</w:t>
            </w:r>
          </w:p>
        </w:tc>
      </w:tr>
    </w:tbl>
    <w:p>
      <w:pPr>
        <w:spacing w:after="60"/>
      </w:pPr>
    </w:p>
    <w:p>
      <w:pPr>
        <w:spacing w:after="120" w:line="276"/>
      </w:pPr>
      <w:r>
        <w:rPr>
          <w:rFonts w:ascii="Calibri" w:cs="Calibri" w:eastAsia="Calibri" w:hAnsi="Calibri"/>
          <w:i/>
          <w:iCs/>
          <w:color w:val="5F5E58"/>
          <w:sz w:val="21"/>
          <w:szCs w:val="21"/>
        </w:rPr>
        <w:t xml:space="preserve">Les chapitres suivants détaillent chacune de ces familles de financement.</w:t>
      </w:r>
    </w:p>
    <w:p>
      <w:pPr>
        <w:pStyle w:val="Heading1"/>
      </w:pPr>
      <w:r>
        <w:rPr>
          <w:rFonts w:ascii="Calibri" w:cs="Calibri" w:eastAsia="Calibri" w:hAnsi="Calibri"/>
          <w:b/>
          <w:bCs/>
          <w:color w:val="1B5E20"/>
          <w:sz w:val="32"/>
          <w:szCs w:val="32"/>
        </w:rPr>
        <w:t xml:space="preserve">3. Les subventions et primes de l'APIA</w:t>
      </w:r>
    </w:p>
    <w:p>
      <w:pPr>
        <w:spacing w:after="120" w:line="276"/>
      </w:pPr>
      <w:r>
        <w:rPr>
          <w:rFonts w:ascii="Calibri" w:cs="Calibri" w:eastAsia="Calibri" w:hAnsi="Calibri"/>
          <w:color w:val="28251D"/>
          <w:sz w:val="21"/>
          <w:szCs w:val="21"/>
        </w:rPr>
        <w:t xml:space="preserve">L'Agence de Promotion des Investissements Agricoles (APIA) est l'acteur public central du financement agricole. Elle octroie des primes et subventions, délivre l'attestation de dépôt de déclaration d'investissement et assure (ou fait assurer gratuitement par les CRDA) l'étude technique du projet.</w:t>
      </w:r>
      <w:r>
        <w:rPr>
          <w:rStyle w:val="FootnoteReference"/>
        </w:rPr>
        <w:footnoteReference w:id="1"/>
      </w:r>
    </w:p>
    <w:p>
      <w:pPr>
        <w:pStyle w:val="Heading3"/>
      </w:pPr>
      <w:r>
        <w:rPr>
          <w:rFonts w:ascii="Calibri" w:cs="Calibri" w:eastAsia="Calibri" w:hAnsi="Calibri"/>
          <w:b/>
          <w:bCs/>
          <w:color w:val="437A22"/>
          <w:sz w:val="22"/>
          <w:szCs w:val="22"/>
        </w:rPr>
        <w:t xml:space="preserve">3.1 La classification des projets : catégories A, B et C</w:t>
      </w:r>
    </w:p>
    <w:p>
      <w:pPr>
        <w:spacing w:after="120" w:line="276"/>
      </w:pPr>
      <w:r>
        <w:rPr>
          <w:rFonts w:ascii="Calibri" w:cs="Calibri" w:eastAsia="Calibri" w:hAnsi="Calibri"/>
          <w:color w:val="28251D"/>
          <w:sz w:val="21"/>
          <w:szCs w:val="21"/>
        </w:rPr>
        <w:t xml:space="preserve">Le niveau des primes et l'autofinancement exigé dépendent de la catégorie du projet, déterminée par le montant de l'investissement.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3000"/>
        <w:gridCol w:w="3060"/>
        <w:gridCol w:w="2000"/>
      </w:tblGrid>
      <w:tr>
        <w:trPr>
          <w:tblHeader/>
        </w:trPr>
        <w:tc>
          <w:tcPr>
            <w:tcW w:type="dxa" w:w="13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Catégorie</w:t>
            </w:r>
          </w:p>
        </w:tc>
        <w:tc>
          <w:tcPr>
            <w:tcW w:type="dxa" w:w="30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Montant d'investissement (projet agricole)</w:t>
            </w:r>
          </w:p>
        </w:tc>
        <w:tc>
          <w:tcPr>
            <w:tcW w:type="dxa" w:w="30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Instruction du dossier</w:t>
            </w:r>
          </w:p>
        </w:tc>
        <w:tc>
          <w:tcPr>
            <w:tcW w:type="dxa" w:w="20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Autofinancement minimal</w:t>
            </w:r>
          </w:p>
        </w:tc>
      </w:tr>
      <w:tr>
        <w:tc>
          <w:tcPr>
            <w:tcW w:type="dxa" w:w="13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w:t>
            </w:r>
          </w:p>
        </w:tc>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 60 000 DT</w:t>
            </w:r>
          </w:p>
        </w:tc>
        <w:tc>
          <w:tcPr>
            <w:tcW w:type="dxa" w:w="30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CRDA (Commissariat Régional au Développement Agricole)</w:t>
            </w:r>
          </w:p>
        </w:tc>
        <w:tc>
          <w:tcPr>
            <w:tcW w:type="dxa" w:w="2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10 %</w:t>
            </w:r>
          </w:p>
        </w:tc>
      </w:tr>
      <w:tr>
        <w:tc>
          <w:tcPr>
            <w:tcW w:type="dxa" w:w="13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w:t>
            </w:r>
          </w:p>
        </w:tc>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&gt; 60 000 et ≤ 225 000 DT</w:t>
            </w:r>
          </w:p>
        </w:tc>
        <w:tc>
          <w:tcPr>
            <w:tcW w:type="dxa" w:w="30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Direction régionale de l'APIA</w:t>
            </w:r>
          </w:p>
        </w:tc>
        <w:tc>
          <w:tcPr>
            <w:tcW w:type="dxa" w:w="2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10 %</w:t>
            </w:r>
          </w:p>
        </w:tc>
      </w:tr>
      <w:tr>
        <w:tc>
          <w:tcPr>
            <w:tcW w:type="dxa" w:w="13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w:t>
            </w:r>
          </w:p>
        </w:tc>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&gt; 225 000 DT</w:t>
            </w:r>
          </w:p>
        </w:tc>
        <w:tc>
          <w:tcPr>
            <w:tcW w:type="dxa" w:w="30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Siège central de l'APIA</w:t>
            </w:r>
          </w:p>
        </w:tc>
        <w:tc>
          <w:tcPr>
            <w:tcW w:type="dxa" w:w="2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30 % (25 % pour les nouveaux promoteurs)</w:t>
            </w:r>
          </w:p>
        </w:tc>
      </w:tr>
    </w:tbl>
    <w:p>
      <w:pPr>
        <w:spacing w:after="160" w:line="276"/>
      </w:pPr>
      <w:r>
        <w:rPr>
          <w:rFonts w:ascii="Calibri" w:cs="Calibri" w:eastAsia="Calibri" w:hAnsi="Calibri"/>
          <w:i/>
          <w:iCs/>
          <w:color w:val="5F5E58"/>
          <w:sz w:val="18"/>
          <w:szCs w:val="18"/>
        </w:rPr>
        <w:t xml:space="preserve">Source : barème officiel APIA des catégories et de l'autofinancement.</w:t>
      </w:r>
      <w:r>
        <w:rPr>
          <w:rStyle w:val="FootnoteReference"/>
        </w:rPr>
        <w:footnoteReference w:id="2"/>
      </w:r>
    </w:p>
    <w:p>
      <w:pPr>
        <w:pStyle w:val="Heading3"/>
      </w:pPr>
      <w:r>
        <w:rPr>
          <w:rFonts w:ascii="Calibri" w:cs="Calibri" w:eastAsia="Calibri" w:hAnsi="Calibri"/>
          <w:b/>
          <w:bCs/>
          <w:color w:val="437A22"/>
          <w:sz w:val="22"/>
          <w:szCs w:val="22"/>
        </w:rPr>
        <w:t xml:space="preserve">3.2 La prime d'investissement</w:t>
      </w:r>
    </w:p>
    <w:p>
      <w:pPr>
        <w:spacing w:after="120" w:line="276"/>
      </w:pPr>
      <w:r>
        <w:rPr>
          <w:rFonts w:ascii="Calibri" w:cs="Calibri" w:eastAsia="Calibri" w:hAnsi="Calibri"/>
          <w:color w:val="28251D"/>
          <w:sz w:val="21"/>
          <w:szCs w:val="21"/>
        </w:rPr>
        <w:t xml:space="preserve">Les investissements agricoles, de pêche, de première transformation et de services liés bénéficient d'une prime d'investissement dont le taux varie selon la catégorie.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60"/>
        <w:gridCol w:w="1766"/>
        <w:gridCol w:w="1767"/>
        <w:gridCol w:w="1767"/>
      </w:tblGrid>
      <w:tr>
        <w:trPr>
          <w:tblHeader/>
        </w:trPr>
        <w:tc>
          <w:tcPr>
            <w:tcW w:type="dxa" w:w="40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Type de projet</w:t>
            </w:r>
          </w:p>
        </w:tc>
        <w:tc>
          <w:tcPr>
            <w:tcW w:type="dxa" w:w="1766"/>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Catégorie A</w:t>
            </w:r>
          </w:p>
        </w:tc>
        <w:tc>
          <w:tcPr>
            <w:tcW w:type="dxa" w:w="1767"/>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Catégorie B</w:t>
            </w:r>
          </w:p>
        </w:tc>
        <w:tc>
          <w:tcPr>
            <w:tcW w:type="dxa" w:w="1767"/>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Catégorie C</w:t>
            </w:r>
          </w:p>
        </w:tc>
      </w:tr>
      <w:tr>
        <w:tc>
          <w:tcPr>
            <w:tcW w:type="dxa" w:w="40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Projets agricoles et de pêche</w:t>
            </w:r>
          </w:p>
        </w:tc>
        <w:tc>
          <w:tcPr>
            <w:tcW w:type="dxa" w:w="1766"/>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25 %</w:t>
            </w:r>
          </w:p>
        </w:tc>
        <w:tc>
          <w:tcPr>
            <w:tcW w:type="dxa" w:w="1767"/>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20 %</w:t>
            </w:r>
          </w:p>
        </w:tc>
        <w:tc>
          <w:tcPr>
            <w:tcW w:type="dxa" w:w="1767"/>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7 %</w:t>
            </w:r>
          </w:p>
        </w:tc>
      </w:tr>
      <w:tr>
        <w:tc>
          <w:tcPr>
            <w:tcW w:type="dxa" w:w="40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Projets de services</w:t>
            </w:r>
          </w:p>
        </w:tc>
        <w:tc>
          <w:tcPr>
            <w:tcW w:type="dxa" w:w="1766"/>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7 %</w:t>
            </w:r>
          </w:p>
        </w:tc>
        <w:tc>
          <w:tcPr>
            <w:tcW w:type="dxa" w:w="1767"/>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7 %</w:t>
            </w:r>
          </w:p>
        </w:tc>
        <w:tc>
          <w:tcPr>
            <w:tcW w:type="dxa" w:w="1767"/>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7 %</w:t>
            </w:r>
          </w:p>
        </w:tc>
      </w:tr>
      <w:tr>
        <w:tc>
          <w:tcPr>
            <w:tcW w:type="dxa" w:w="40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Matériel agricole (diplômés sup., services)</w:t>
            </w:r>
          </w:p>
        </w:tc>
        <w:tc>
          <w:tcPr>
            <w:tcW w:type="dxa" w:w="1766"/>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w:t>
            </w:r>
          </w:p>
        </w:tc>
        <w:tc>
          <w:tcPr>
            <w:tcW w:type="dxa" w:w="1767"/>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w:t>
            </w:r>
          </w:p>
        </w:tc>
        <w:tc>
          <w:tcPr>
            <w:tcW w:type="dxa" w:w="1767"/>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25 %</w:t>
            </w:r>
          </w:p>
        </w:tc>
      </w:tr>
    </w:tbl>
    <w:p>
      <w:pPr>
        <w:spacing w:after="160" w:line="276"/>
      </w:pPr>
      <w:r>
        <w:rPr>
          <w:rFonts w:ascii="Calibri" w:cs="Calibri" w:eastAsia="Calibri" w:hAnsi="Calibri"/>
          <w:i/>
          <w:iCs/>
          <w:color w:val="5F5E58"/>
          <w:sz w:val="18"/>
          <w:szCs w:val="18"/>
        </w:rPr>
        <w:t xml:space="preserve">Source : APIA, Subvention financière — Prime d'investissement.</w:t>
      </w:r>
      <w:r>
        <w:rPr>
          <w:rStyle w:val="FootnoteReference"/>
        </w:rPr>
        <w:footnoteReference w:id="2"/>
      </w:r>
    </w:p>
    <w:p>
      <w:pPr>
        <w:pStyle w:val="Heading3"/>
      </w:pPr>
      <w:r>
        <w:rPr>
          <w:rFonts w:ascii="Calibri" w:cs="Calibri" w:eastAsia="Calibri" w:hAnsi="Calibri"/>
          <w:b/>
          <w:bCs/>
          <w:color w:val="437A22"/>
          <w:sz w:val="22"/>
          <w:szCs w:val="22"/>
        </w:rPr>
        <w:t xml:space="preserve">3.3 Les primes spécifiques</w:t>
      </w:r>
    </w:p>
    <w:p>
      <w:pPr>
        <w:spacing w:after="120" w:line="276"/>
      </w:pPr>
      <w:r>
        <w:rPr>
          <w:rFonts w:ascii="Calibri" w:cs="Calibri" w:eastAsia="Calibri" w:hAnsi="Calibri"/>
          <w:color w:val="28251D"/>
          <w:sz w:val="21"/>
          <w:szCs w:val="21"/>
        </w:rPr>
        <w:t xml:space="preserve">Au-delà de la prime générale, l'APIA accorde des primes ciblées qui peuvent considérablement réduire le coût d'un projet, en particulier dans les domaines de l'eau, de l'élevage et de l'agriculture biologique.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360"/>
        <w:gridCol w:w="3000"/>
      </w:tblGrid>
      <w:tr>
        <w:trPr>
          <w:tblHeader/>
        </w:trPr>
        <w:tc>
          <w:tcPr>
            <w:tcW w:type="dxa" w:w="63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Objet de la prime spécifique</w:t>
            </w:r>
          </w:p>
        </w:tc>
        <w:tc>
          <w:tcPr>
            <w:tcW w:type="dxa" w:w="30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Taux / plafond</w:t>
            </w:r>
          </w:p>
        </w:tc>
      </w:tr>
      <w:tr>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Acquisition de matériel agricole (tracteurs, moissonneuses, matériel tracté)</w:t>
            </w:r>
          </w:p>
        </w:tc>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25 % (A, B, C)</w:t>
            </w:r>
          </w:p>
        </w:tc>
      </w:tr>
      <w:tr>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Reconnaissance et prospection de point d'eau (résultat positif / négatif)</w:t>
            </w:r>
          </w:p>
        </w:tc>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40 % / 70 %</w:t>
            </w:r>
          </w:p>
        </w:tc>
      </w:tr>
      <w:tr>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Irrigation d'appoint des céréales (hors PPI)</w:t>
            </w:r>
          </w:p>
        </w:tc>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30 %</w:t>
            </w:r>
          </w:p>
        </w:tc>
      </w:tr>
      <w:tr>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Travaux de conservation des eaux et du sol (CES)</w:t>
            </w:r>
          </w:p>
        </w:tc>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50 % (A, B) — 30 % (C)</w:t>
            </w:r>
          </w:p>
        </w:tc>
      </w:tr>
      <w:tr>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Multiplication des semences</w:t>
            </w:r>
          </w:p>
        </w:tc>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30 %</w:t>
            </w:r>
          </w:p>
        </w:tc>
      </w:tr>
      <w:tr>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Prairies, plantations d'arbustes fourragers et forestiers</w:t>
            </w:r>
          </w:p>
        </w:tc>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50 % (A, B) — 30 % (C)</w:t>
            </w:r>
          </w:p>
        </w:tc>
      </w:tr>
      <w:tr>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Équipements de production biologique</w:t>
            </w:r>
          </w:p>
        </w:tc>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30 %</w:t>
            </w:r>
          </w:p>
        </w:tc>
      </w:tr>
      <w:tr>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Acquisition de génisses pleines</w:t>
            </w:r>
          </w:p>
        </w:tc>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30 % (A) — 25 % (B) — 15 % (C)</w:t>
            </w:r>
          </w:p>
        </w:tc>
      </w:tr>
      <w:tr>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Système d'irrigation économe en eau</w:t>
            </w:r>
          </w:p>
        </w:tc>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60 % (A) — 50 % (B) — 40 % (C)</w:t>
            </w:r>
          </w:p>
        </w:tc>
      </w:tr>
      <w:tr>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Économie d'eau réalisée par les GDA</w:t>
            </w:r>
          </w:p>
        </w:tc>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60 % (A, B, C)</w:t>
            </w:r>
          </w:p>
        </w:tc>
      </w:tr>
      <w:tr>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Filets anti-grêle (plantations fruitières)</w:t>
            </w:r>
          </w:p>
        </w:tc>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60 % (A) — 50 % (B) — 40 % (C, plaf. 7 200 DT/ha)</w:t>
            </w:r>
          </w:p>
        </w:tc>
      </w:tr>
    </w:tbl>
    <w:p>
      <w:pPr>
        <w:spacing w:after="160" w:line="276"/>
      </w:pPr>
      <w:r>
        <w:rPr>
          <w:rFonts w:ascii="Calibri" w:cs="Calibri" w:eastAsia="Calibri" w:hAnsi="Calibri"/>
          <w:i/>
          <w:iCs/>
          <w:color w:val="5F5E58"/>
          <w:sz w:val="18"/>
          <w:szCs w:val="18"/>
        </w:rPr>
        <w:t xml:space="preserve">Source : APIA, primes spécifiques aux investissements agricoles.</w:t>
      </w:r>
      <w:r>
        <w:rPr>
          <w:rStyle w:val="FootnoteReference"/>
        </w:rPr>
        <w:footnoteReference w:id="2"/>
      </w:r>
    </w:p>
    <w:p>
      <w:pPr>
        <w:pStyle w:val="Heading3"/>
      </w:pPr>
      <w:r>
        <w:rPr>
          <w:rFonts w:ascii="Calibri" w:cs="Calibri" w:eastAsia="Calibri" w:hAnsi="Calibri"/>
          <w:b/>
          <w:bCs/>
          <w:color w:val="437A22"/>
          <w:sz w:val="22"/>
          <w:szCs w:val="22"/>
        </w:rPr>
        <w:t xml:space="preserve">3.4 Primes additionnelles et structures collectives</w:t>
      </w:r>
    </w:p>
    <w:p>
      <w:pPr>
        <w:pStyle w:val="ListParagraph"/>
        <w:numPr>
          <w:ilvl w:val="0"/>
          <w:numId w:val="2"/>
        </w:numPr>
        <w:spacing w:after="80" w:line="270"/>
      </w:pPr>
      <w:r>
        <w:rPr>
          <w:rFonts w:ascii="Calibri" w:cs="Calibri" w:eastAsia="Calibri" w:hAnsi="Calibri"/>
          <w:color w:val="28251D"/>
          <w:sz w:val="21"/>
          <w:szCs w:val="21"/>
        </w:rPr>
        <w:t xml:space="preserve">Régions à climat difficile (gouvernorats du Sud) : prime additionnelle de 8 % du montant de l'investissement.</w:t>
      </w:r>
    </w:p>
    <w:p>
      <w:pPr>
        <w:pStyle w:val="ListParagraph"/>
        <w:numPr>
          <w:ilvl w:val="0"/>
          <w:numId w:val="2"/>
        </w:numPr>
        <w:spacing w:after="80" w:line="270"/>
      </w:pPr>
      <w:r>
        <w:rPr>
          <w:rFonts w:ascii="Calibri" w:cs="Calibri" w:eastAsia="Calibri" w:hAnsi="Calibri"/>
          <w:color w:val="28251D"/>
          <w:sz w:val="21"/>
          <w:szCs w:val="21"/>
        </w:rPr>
        <w:t xml:space="preserve">Sociétés Mutuelles de Services Agricoles (SMSA) et coopératives : prime de 20 % du coût d'investissement (plafonnée à 100 000 DT pour les coopératives et groupements).</w:t>
      </w:r>
    </w:p>
    <w:p>
      <w:pPr>
        <w:pStyle w:val="ListParagraph"/>
        <w:numPr>
          <w:ilvl w:val="0"/>
          <w:numId w:val="2"/>
        </w:numPr>
        <w:spacing w:after="80" w:line="270"/>
      </w:pPr>
      <w:r>
        <w:rPr>
          <w:rFonts w:ascii="Calibri" w:cs="Calibri" w:eastAsia="Calibri" w:hAnsi="Calibri"/>
          <w:color w:val="28251D"/>
          <w:sz w:val="21"/>
          <w:szCs w:val="21"/>
        </w:rPr>
        <w:t xml:space="preserve">Groupements de Développement Agricole (GDA) : prime de 25 % du coût d'investissement.</w:t>
      </w:r>
    </w:p>
    <w:p>
      <w:pPr>
        <w:pStyle w:val="ListParagraph"/>
        <w:numPr>
          <w:ilvl w:val="0"/>
          <w:numId w:val="2"/>
        </w:numPr>
        <w:spacing w:after="80" w:line="270"/>
      </w:pPr>
      <w:r>
        <w:rPr>
          <w:rFonts w:ascii="Calibri" w:cs="Calibri" w:eastAsia="Calibri" w:hAnsi="Calibri"/>
          <w:color w:val="28251D"/>
          <w:sz w:val="21"/>
          <w:szCs w:val="21"/>
        </w:rPr>
        <w:t xml:space="preserve">Acquisition de matériel agricole par les SMSA : 40 % du montant des équipements.</w:t>
      </w:r>
    </w:p>
    <w:p>
      <w:pPr>
        <w:pStyle w:val="ListParagraph"/>
        <w:numPr>
          <w:ilvl w:val="0"/>
          <w:numId w:val="2"/>
        </w:numPr>
        <w:spacing w:after="80" w:line="270"/>
      </w:pPr>
      <w:r>
        <w:rPr>
          <w:rFonts w:ascii="Calibri" w:cs="Calibri" w:eastAsia="Calibri" w:hAnsi="Calibri"/>
          <w:color w:val="28251D"/>
          <w:sz w:val="21"/>
          <w:szCs w:val="21"/>
        </w:rPr>
        <w:t xml:space="preserve">Zones de reconversion minière (délégations de Gafsa) : prime de 25 %.</w:t>
      </w:r>
    </w:p>
    <w:p>
      <w:pPr>
        <w:spacing w:after="120" w:line="276"/>
      </w:pPr>
      <w:r>
        <w:rPr>
          <w:rFonts w:ascii="Calibri" w:cs="Calibri" w:eastAsia="Calibri" w:hAnsi="Calibri"/>
          <w:i/>
          <w:iCs/>
          <w:color w:val="5F5E58"/>
          <w:sz w:val="19"/>
          <w:szCs w:val="19"/>
        </w:rPr>
        <w:t xml:space="preserve">Ces primes sont particulièrement avantageuses pour les structures de l'économie sociale et solidaire (SMSA, GDA), encouragées par l'État.</w:t>
      </w:r>
      <w:r>
        <w:rPr>
          <w:rStyle w:val="FootnoteReference"/>
        </w:rPr>
        <w:footnoteReference w:id="1"/>
      </w:r>
    </w:p>
    <w:p>
      <w:pPr>
        <w:pStyle w:val="Heading3"/>
      </w:pPr>
      <w:r>
        <w:rPr>
          <w:rFonts w:ascii="Calibri" w:cs="Calibri" w:eastAsia="Calibri" w:hAnsi="Calibri"/>
          <w:b/>
          <w:bCs/>
          <w:color w:val="437A22"/>
          <w:sz w:val="22"/>
          <w:szCs w:val="22"/>
        </w:rPr>
        <w:t xml:space="preserve">3.5 La prime d'étude</w:t>
      </w:r>
    </w:p>
    <w:p>
      <w:pPr>
        <w:spacing w:after="120" w:line="276"/>
      </w:pPr>
      <w:r>
        <w:rPr>
          <w:rFonts w:ascii="Calibri" w:cs="Calibri" w:eastAsia="Calibri" w:hAnsi="Calibri"/>
          <w:color w:val="28251D"/>
          <w:sz w:val="21"/>
          <w:szCs w:val="21"/>
        </w:rPr>
        <w:t xml:space="preserve">L'étude technico-économique est gratuite pour les projets de catégorie A et plafonnée à 5 000 DT pour les catégories B et C. Pour l'aquaculture, une prime additionnelle de 40 % du coût d'étude est prévue pour l'identification du site (plafond global de 40 000 DT).</w:t>
      </w:r>
    </w:p>
    <w:p>
      <w:pPr>
        <w:pStyle w:val="Heading1"/>
      </w:pPr>
      <w:r>
        <w:rPr>
          <w:rFonts w:ascii="Calibri" w:cs="Calibri" w:eastAsia="Calibri" w:hAnsi="Calibri"/>
          <w:b/>
          <w:bCs/>
          <w:color w:val="1B5E20"/>
          <w:sz w:val="32"/>
          <w:szCs w:val="32"/>
        </w:rPr>
        <w:t xml:space="preserve">4. Le financement bancaire</w:t>
      </w:r>
    </w:p>
    <w:p>
      <w:pPr>
        <w:spacing w:after="120" w:line="276"/>
      </w:pPr>
      <w:r>
        <w:rPr>
          <w:rFonts w:ascii="Calibri" w:cs="Calibri" w:eastAsia="Calibri" w:hAnsi="Calibri"/>
          <w:color w:val="28251D"/>
          <w:sz w:val="21"/>
          <w:szCs w:val="21"/>
        </w:rPr>
        <w:t xml:space="preserve">Le crédit bancaire constitue le deuxième pilier du financement agricole. Trois banques publiques jouent un rôle de premier plan : la BNA, la BTS et la BFPME.</w:t>
      </w:r>
    </w:p>
    <w:p>
      <w:pPr>
        <w:pStyle w:val="Heading3"/>
      </w:pPr>
      <w:r>
        <w:rPr>
          <w:rFonts w:ascii="Calibri" w:cs="Calibri" w:eastAsia="Calibri" w:hAnsi="Calibri"/>
          <w:b/>
          <w:bCs/>
          <w:color w:val="437A22"/>
          <w:sz w:val="22"/>
          <w:szCs w:val="22"/>
        </w:rPr>
        <w:t xml:space="preserve">4.1 La BNA — Banque Nationale Agricole</w:t>
      </w:r>
    </w:p>
    <w:p>
      <w:pPr>
        <w:spacing w:after="120" w:line="276"/>
      </w:pPr>
      <w:r>
        <w:rPr>
          <w:rFonts w:ascii="Calibri" w:cs="Calibri" w:eastAsia="Calibri" w:hAnsi="Calibri"/>
          <w:color w:val="28251D"/>
          <w:sz w:val="21"/>
          <w:szCs w:val="21"/>
        </w:rPr>
        <w:t xml:space="preserve">Banquier historique du monde agricole, la BNA propose à la fois des crédits de campagne (intrants, semences, main-d'œuvre saisonnière) et des crédits d'investissement (équipements, plantations, bâtiments). Elle est l'acteur dominant du financement des grandes cultures : pour la saison des récoltes 2025, l'enveloppe allouée a atteint environ 1 791 millions de dinars, au bénéfice de quelque 4 700 agriculteurs pour la seule campagne céréalière.</w:t>
      </w:r>
      <w:r>
        <w:rPr>
          <w:rStyle w:val="FootnoteReference"/>
        </w:rPr>
        <w:footnoteReference w:id="7"/>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5E20" w:sz="4"/>
              <w:left w:val="single" w:color="1B5E20" w:sz="18"/>
              <w:bottom w:val="single" w:color="1B5E20" w:sz="4"/>
              <w:right w:val="single" w:color="1B5E20" w:sz="4"/>
            </w:tcBorders>
            <w:shd w:fill="E8F0E3" w:color="auto" w:val="clear"/>
            <w:tcMar>
              <w:top w:type="dxa" w:w="120"/>
              <w:left w:type="dxa" w:w="200"/>
              <w:bottom w:type="dxa" w:w="120"/>
              <w:right w:type="dxa" w:w="160"/>
            </w:tcMar>
          </w:tcPr>
          <w:p>
            <w:pPr>
              <w:spacing w:after="60"/>
            </w:pPr>
            <w:r>
              <w:rPr>
                <w:rFonts w:ascii="Calibri" w:cs="Calibri" w:eastAsia="Calibri" w:hAnsi="Calibri"/>
                <w:b/>
                <w:bCs/>
                <w:color w:val="1B5E20"/>
                <w:sz w:val="21"/>
                <w:szCs w:val="21"/>
              </w:rPr>
              <w:t xml:space="preserve">À retenir — BNA</w:t>
            </w:r>
          </w:p>
          <w:p>
            <w:pPr>
              <w:spacing w:after="50" w:line="268"/>
            </w:pPr>
            <w:r>
              <w:rPr>
                <w:rFonts w:ascii="Calibri" w:cs="Calibri" w:eastAsia="Calibri" w:hAnsi="Calibri"/>
                <w:color w:val="28251D"/>
                <w:sz w:val="20"/>
                <w:szCs w:val="20"/>
              </w:rPr>
              <w:t xml:space="preserve">• Crédit de campagne : financement du cycle de production saisonnier.</w:t>
            </w:r>
          </w:p>
          <w:p>
            <w:pPr>
              <w:spacing w:after="50" w:line="268"/>
            </w:pPr>
            <w:r>
              <w:rPr>
                <w:rFonts w:ascii="Calibri" w:cs="Calibri" w:eastAsia="Calibri" w:hAnsi="Calibri"/>
                <w:color w:val="28251D"/>
                <w:sz w:val="20"/>
                <w:szCs w:val="20"/>
              </w:rPr>
              <w:t xml:space="preserve">• Crédit d'investissement à moyen et long terme.</w:t>
            </w:r>
          </w:p>
          <w:p>
            <w:pPr>
              <w:spacing w:after="50" w:line="268"/>
            </w:pPr>
            <w:r>
              <w:rPr>
                <w:rFonts w:ascii="Calibri" w:cs="Calibri" w:eastAsia="Calibri" w:hAnsi="Calibri"/>
                <w:color w:val="28251D"/>
                <w:sz w:val="20"/>
                <w:szCs w:val="20"/>
              </w:rPr>
              <w:t xml:space="preserve">• Acteur de référence pour les céréales et les grandes cultures.</w:t>
            </w:r>
          </w:p>
          <w:p>
            <w:pPr>
              <w:spacing w:after="50" w:line="268"/>
            </w:pPr>
            <w:r>
              <w:rPr>
                <w:rFonts w:ascii="Calibri" w:cs="Calibri" w:eastAsia="Calibri" w:hAnsi="Calibri"/>
                <w:color w:val="28251D"/>
                <w:sz w:val="20"/>
                <w:szCs w:val="20"/>
              </w:rPr>
              <w:t xml:space="preserve">• C'est aussi la BNA qui débloque les subventions APIA après réalisation du projet.</w:t>
            </w:r>
          </w:p>
        </w:tc>
      </w:tr>
    </w:tbl>
    <w:p>
      <w:pPr>
        <w:pStyle w:val="Heading3"/>
      </w:pPr>
      <w:r>
        <w:rPr>
          <w:rFonts w:ascii="Calibri" w:cs="Calibri" w:eastAsia="Calibri" w:hAnsi="Calibri"/>
          <w:b/>
          <w:bCs/>
          <w:color w:val="437A22"/>
          <w:sz w:val="22"/>
          <w:szCs w:val="22"/>
        </w:rPr>
        <w:t xml:space="preserve">4.2 La BTS — crédit Agri-Invest</w:t>
      </w:r>
    </w:p>
    <w:p>
      <w:pPr>
        <w:spacing w:after="120" w:line="276"/>
      </w:pPr>
      <w:r>
        <w:rPr>
          <w:rFonts w:ascii="Calibri" w:cs="Calibri" w:eastAsia="Calibri" w:hAnsi="Calibri"/>
          <w:color w:val="28251D"/>
          <w:sz w:val="21"/>
          <w:szCs w:val="21"/>
        </w:rPr>
        <w:t xml:space="preserve">La Banque Tunisienne de Solidarité (BTS) cible les petits projets et les jeunes promoteurs avec son produit Agri-Invest, dont l'atout majeur est l'absence de garantie réelle exigée.</w:t>
      </w:r>
      <w:r>
        <w:rPr>
          <w:rStyle w:val="FootnoteReference"/>
        </w:rPr>
        <w:footnoteReference w:id="3"/>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Caractéristique</w:t>
            </w:r>
          </w:p>
        </w:tc>
        <w:tc>
          <w:tcPr>
            <w:tcW w:type="dxa" w:w="63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Crédit Agri-Invest (BTS)</w:t>
            </w:r>
          </w:p>
        </w:tc>
      </w:tr>
      <w:tr>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Montant d'investissement</w:t>
            </w:r>
          </w:p>
        </w:tc>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Jusqu'à 200 000 DT (diplômés sup.) ou 150 000 DT (autres niveaux)</w:t>
            </w:r>
          </w:p>
        </w:tc>
      </w:tr>
      <w:tr>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Subvention possible</w:t>
            </w:r>
          </w:p>
        </w:tc>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Jusqu'à 30 % de l'investissement</w:t>
            </w:r>
          </w:p>
        </w:tc>
      </w:tr>
      <w:tr>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Durée de remboursement</w:t>
            </w:r>
          </w:p>
        </w:tc>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Jusqu'à 7 ans</w:t>
            </w:r>
          </w:p>
        </w:tc>
      </w:tr>
      <w:tr>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Période de grâce</w:t>
            </w:r>
          </w:p>
        </w:tc>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3 à 12 mois selon l'activité</w:t>
            </w:r>
          </w:p>
        </w:tc>
      </w:tr>
      <w:tr>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Taux d'intérêt</w:t>
            </w:r>
          </w:p>
        </w:tc>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Fixe</w:t>
            </w:r>
          </w:p>
        </w:tc>
      </w:tr>
      <w:tr>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Garantie</w:t>
            </w:r>
          </w:p>
        </w:tc>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Pas de garantie réelle exigée</w:t>
            </w:r>
          </w:p>
        </w:tc>
      </w:tr>
      <w:tr>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Étude technique</w:t>
            </w:r>
          </w:p>
        </w:tc>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Gratuite (CRDA ou APIA)</w:t>
            </w:r>
          </w:p>
        </w:tc>
      </w:tr>
      <w:tr>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Frais</w:t>
            </w:r>
          </w:p>
        </w:tc>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Garantie FNG 1 % + commission d'étude 2 %</w:t>
            </w:r>
          </w:p>
        </w:tc>
      </w:tr>
      <w:tr>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Forme juridique</w:t>
            </w:r>
          </w:p>
        </w:tc>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Entreprise individuelle ou SUARL</w:t>
            </w:r>
          </w:p>
        </w:tc>
      </w:tr>
    </w:tbl>
    <w:p>
      <w:pPr>
        <w:spacing w:after="120" w:line="276"/>
      </w:pPr>
      <w:r>
        <w:rPr>
          <w:rFonts w:ascii="Calibri" w:cs="Calibri" w:eastAsia="Calibri" w:hAnsi="Calibri"/>
          <w:i/>
          <w:iCs/>
          <w:color w:val="5F5E58"/>
          <w:sz w:val="19"/>
          <w:szCs w:val="19"/>
        </w:rPr>
        <w:t xml:space="preserve">Conditions : nationalité tunisienne, âge 18-59 ans, qualification professionnelle justifiée, engagement à gérer le projet à plein temps.</w:t>
      </w:r>
      <w:r>
        <w:rPr>
          <w:rStyle w:val="FootnoteReference"/>
        </w:rPr>
        <w:footnoteReference w:id="3"/>
      </w:r>
    </w:p>
    <w:p>
      <w:pPr>
        <w:pStyle w:val="Heading3"/>
      </w:pPr>
      <w:r>
        <w:rPr>
          <w:rFonts w:ascii="Calibri" w:cs="Calibri" w:eastAsia="Calibri" w:hAnsi="Calibri"/>
          <w:b/>
          <w:bCs/>
          <w:color w:val="437A22"/>
          <w:sz w:val="22"/>
          <w:szCs w:val="22"/>
        </w:rPr>
        <w:t xml:space="preserve">4.3 La BFPME — PME agricoles et agroalimentaires</w:t>
      </w:r>
    </w:p>
    <w:p>
      <w:pPr>
        <w:spacing w:after="120" w:line="276"/>
      </w:pPr>
      <w:r>
        <w:rPr>
          <w:rFonts w:ascii="Calibri" w:cs="Calibri" w:eastAsia="Calibri" w:hAnsi="Calibri"/>
          <w:color w:val="28251D"/>
          <w:sz w:val="21"/>
          <w:szCs w:val="21"/>
        </w:rPr>
        <w:t xml:space="preserve">La Banque de Financement des Petites et Moyennes Entreprises (BFPME) s'adresse aux projets de plus grande envergure, notamment dans l'agroalimentaire et la transformation. Elle propose des crédits à moyen et long terme (CMLT) et des prêts participatifs.</w:t>
      </w:r>
      <w:r>
        <w:rPr>
          <w:rStyle w:val="FootnoteReference"/>
        </w:rPr>
        <w:footnoteReference w:id="4"/>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rPr>
          <w:tblHeader/>
        </w:trPr>
        <w:tc>
          <w:tcPr>
            <w:tcW w:type="dxa" w:w="26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Caractéristique</w:t>
            </w:r>
          </w:p>
        </w:tc>
        <w:tc>
          <w:tcPr>
            <w:tcW w:type="dxa" w:w="338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CMLT Création/Extension</w:t>
            </w:r>
          </w:p>
        </w:tc>
        <w:tc>
          <w:tcPr>
            <w:tcW w:type="dxa" w:w="338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Prêt participatif Intilak 2</w:t>
            </w:r>
          </w:p>
        </w:tc>
      </w:tr>
      <w:tr>
        <w:tc>
          <w:tcPr>
            <w:tcW w:type="dxa" w:w="26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Coût d'investissement éligible</w:t>
            </w:r>
          </w:p>
        </w:tc>
        <w:tc>
          <w:tcPr>
            <w:tcW w:type="dxa" w:w="338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100 000 DT à 15 M DT</w:t>
            </w:r>
          </w:p>
        </w:tc>
        <w:tc>
          <w:tcPr>
            <w:tcW w:type="dxa" w:w="338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PME ayant déjà un CMLT BFPME</w:t>
            </w:r>
          </w:p>
        </w:tc>
      </w:tr>
      <w:tr>
        <w:tc>
          <w:tcPr>
            <w:tcW w:type="dxa" w:w="26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Montant / participation</w:t>
            </w:r>
          </w:p>
        </w:tc>
        <w:tc>
          <w:tcPr>
            <w:tcW w:type="dxa" w:w="338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Jusqu'à 65 % du coût (max 2,5 M DT)</w:t>
            </w:r>
          </w:p>
        </w:tc>
        <w:tc>
          <w:tcPr>
            <w:tcW w:type="dxa" w:w="338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Jusqu'à 60 % du capital</w:t>
            </w:r>
          </w:p>
        </w:tc>
      </w:tr>
      <w:tr>
        <w:tc>
          <w:tcPr>
            <w:tcW w:type="dxa" w:w="26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Plafond</w:t>
            </w:r>
          </w:p>
        </w:tc>
        <w:tc>
          <w:tcPr>
            <w:tcW w:type="dxa" w:w="338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2,5 M DT</w:t>
            </w:r>
          </w:p>
        </w:tc>
        <w:tc>
          <w:tcPr>
            <w:tcW w:type="dxa" w:w="338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300 000 DT (ZDR) / 200 000 DT (hors ZDR)</w:t>
            </w:r>
          </w:p>
        </w:tc>
      </w:tr>
      <w:tr>
        <w:tc>
          <w:tcPr>
            <w:tcW w:type="dxa" w:w="26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Durée</w:t>
            </w:r>
          </w:p>
        </w:tc>
        <w:tc>
          <w:tcPr>
            <w:tcW w:type="dxa" w:w="338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5 à 10 ans</w:t>
            </w:r>
          </w:p>
        </w:tc>
        <w:tc>
          <w:tcPr>
            <w:tcW w:type="dxa" w:w="338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Max 10 ans</w:t>
            </w:r>
          </w:p>
        </w:tc>
      </w:tr>
      <w:tr>
        <w:tc>
          <w:tcPr>
            <w:tcW w:type="dxa" w:w="26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Période de grâce</w:t>
            </w:r>
          </w:p>
        </w:tc>
        <w:tc>
          <w:tcPr>
            <w:tcW w:type="dxa" w:w="338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Max 3 ans</w:t>
            </w:r>
          </w:p>
        </w:tc>
        <w:tc>
          <w:tcPr>
            <w:tcW w:type="dxa" w:w="338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Max 4 ans</w:t>
            </w:r>
          </w:p>
        </w:tc>
      </w:tr>
      <w:tr>
        <w:tc>
          <w:tcPr>
            <w:tcW w:type="dxa" w:w="26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Taux</w:t>
            </w:r>
          </w:p>
        </w:tc>
        <w:tc>
          <w:tcPr>
            <w:tcW w:type="dxa" w:w="338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TMM + 2 % à TMM + 4 %</w:t>
            </w:r>
          </w:p>
        </w:tc>
        <w:tc>
          <w:tcPr>
            <w:tcW w:type="dxa" w:w="338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w:t>
            </w:r>
          </w:p>
        </w:tc>
      </w:tr>
      <w:tr>
        <w:tc>
          <w:tcPr>
            <w:tcW w:type="dxa" w:w="26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Garantie</w:t>
            </w:r>
          </w:p>
        </w:tc>
        <w:tc>
          <w:tcPr>
            <w:tcW w:type="dxa" w:w="338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Sur composantes du projet + SOTUGAR</w:t>
            </w:r>
          </w:p>
        </w:tc>
        <w:tc>
          <w:tcPr>
            <w:tcW w:type="dxa" w:w="338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w:t>
            </w:r>
          </w:p>
        </w:tc>
      </w:tr>
    </w:tbl>
    <w:p>
      <w:pPr>
        <w:spacing w:after="120" w:line="276"/>
      </w:pPr>
      <w:r>
        <w:rPr>
          <w:rFonts w:ascii="Calibri" w:cs="Calibri" w:eastAsia="Calibri" w:hAnsi="Calibri"/>
          <w:i/>
          <w:iCs/>
          <w:color w:val="5F5E58"/>
          <w:sz w:val="18"/>
          <w:szCs w:val="18"/>
        </w:rPr>
        <w:t xml:space="preserve">Source : TIA, mécanismes BFPME (CMLT et prêts participatifs).</w:t>
      </w:r>
      <w:r>
        <w:rPr>
          <w:rStyle w:val="FootnoteReference"/>
        </w:rPr>
        <w:footnoteReference w:id="4"/>
      </w:r>
    </w:p>
    <w:p>
      <w:pPr>
        <w:spacing w:after="120" w:line="276"/>
      </w:pPr>
      <w:r>
        <w:rPr>
          <w:rFonts w:ascii="Calibri" w:cs="Calibri" w:eastAsia="Calibri" w:hAnsi="Calibri"/>
          <w:color w:val="28251D"/>
          <w:sz w:val="21"/>
          <w:szCs w:val="21"/>
        </w:rPr>
        <w:t xml:space="preserve">Commissions BFPME : commission d'étude de 1 % flat du montant du crédit et commission d'engagement de 1 % l'an sur le montant engagé non utilisé.</w:t>
      </w:r>
    </w:p>
    <w:p>
      <w:pPr>
        <w:pStyle w:val="Heading3"/>
      </w:pPr>
      <w:r>
        <w:rPr>
          <w:rFonts w:ascii="Calibri" w:cs="Calibri" w:eastAsia="Calibri" w:hAnsi="Calibri"/>
          <w:b/>
          <w:bCs/>
          <w:color w:val="437A22"/>
          <w:sz w:val="22"/>
          <w:szCs w:val="22"/>
        </w:rPr>
        <w:t xml:space="preserve">4.4 Le prêt foncier agricole (FTI)</w:t>
      </w:r>
    </w:p>
    <w:p>
      <w:pPr>
        <w:spacing w:after="120" w:line="276"/>
      </w:pPr>
      <w:r>
        <w:rPr>
          <w:rFonts w:ascii="Calibri" w:cs="Calibri" w:eastAsia="Calibri" w:hAnsi="Calibri"/>
          <w:color w:val="28251D"/>
          <w:sz w:val="21"/>
          <w:szCs w:val="21"/>
        </w:rPr>
        <w:t xml:space="preserve">Pour répondre au problème de l'accès au foncier — souvent le principal obstacle des jeunes agriculteurs — le Fonds Tunisien d'Investissement propose un prêt foncier dédié à l'achat de terres agricoles.</w:t>
      </w:r>
      <w:r>
        <w:rPr>
          <w:rStyle w:val="FootnoteReference"/>
        </w:rPr>
        <w:footnoteReference w:id="4"/>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Caractéristique</w:t>
            </w:r>
          </w:p>
        </w:tc>
        <w:tc>
          <w:tcPr>
            <w:tcW w:type="dxa" w:w="63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Prêt foncier agricole</w:t>
            </w:r>
          </w:p>
        </w:tc>
      </w:tr>
      <w:tr>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Montant</w:t>
            </w:r>
          </w:p>
        </w:tc>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Jusqu'à 250 000 DT (125 000 DT si achat auprès des ascendants)</w:t>
            </w:r>
          </w:p>
        </w:tc>
      </w:tr>
      <w:tr>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Durée de remboursement</w:t>
            </w:r>
          </w:p>
        </w:tc>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25 ans</w:t>
            </w:r>
          </w:p>
        </w:tc>
      </w:tr>
      <w:tr>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Délai de grâce</w:t>
            </w:r>
          </w:p>
        </w:tc>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5 ans</w:t>
            </w:r>
          </w:p>
        </w:tc>
      </w:tr>
      <w:tr>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Taux d'intérêt</w:t>
            </w:r>
          </w:p>
        </w:tc>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5 %</w:t>
            </w:r>
          </w:p>
        </w:tc>
      </w:tr>
      <w:tr>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Âge du bénéficiaire</w:t>
            </w:r>
          </w:p>
        </w:tc>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 40 ans (sauf exceptions)</w:t>
            </w:r>
          </w:p>
        </w:tc>
      </w:tr>
      <w:tr>
        <w:tc>
          <w:tcPr>
            <w:tcW w:type="dxa" w:w="30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Expérience requise</w:t>
            </w:r>
          </w:p>
        </w:tc>
        <w:tc>
          <w:tcPr>
            <w:tcW w:type="dxa" w:w="6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 5 ans d'activité agricole sans interruption</w:t>
            </w:r>
          </w:p>
        </w:tc>
      </w:tr>
      <w:tr>
        <w:tc>
          <w:tcPr>
            <w:tcW w:type="dxa" w:w="30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Objectif</w:t>
            </w:r>
          </w:p>
        </w:tc>
        <w:tc>
          <w:tcPr>
            <w:tcW w:type="dxa" w:w="6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Rajeunir les exploitants, lutter contre le morcellement</w:t>
            </w:r>
          </w:p>
        </w:tc>
      </w:tr>
    </w:tbl>
    <w:p>
      <w:pPr>
        <w:spacing w:after="120" w:line="276"/>
      </w:pPr>
      <w:r>
        <w:rPr>
          <w:rFonts w:ascii="Calibri" w:cs="Calibri" w:eastAsia="Calibri" w:hAnsi="Calibri"/>
          <w:i/>
          <w:iCs/>
          <w:color w:val="5F5E58"/>
          <w:sz w:val="19"/>
          <w:szCs w:val="19"/>
        </w:rPr>
        <w:t xml:space="preserve">Cibles : jeunes de moins de 40 ans titulaires d'une qualification, techniciens diplômés de l'enseignement agricole, promoteurs souhaitant racheter les parts de copropriétaires indivis.</w:t>
      </w:r>
      <w:r>
        <w:rPr>
          <w:rStyle w:val="FootnoteReference"/>
        </w:rPr>
        <w:footnoteReference w:id="4"/>
      </w:r>
    </w:p>
    <w:p>
      <w:pPr>
        <w:pStyle w:val="Heading1"/>
      </w:pPr>
      <w:r>
        <w:rPr>
          <w:rFonts w:ascii="Calibri" w:cs="Calibri" w:eastAsia="Calibri" w:hAnsi="Calibri"/>
          <w:b/>
          <w:bCs/>
          <w:color w:val="1B5E20"/>
          <w:sz w:val="32"/>
          <w:szCs w:val="32"/>
        </w:rPr>
        <w:t xml:space="preserve">5. Le leasing agricole</w:t>
      </w:r>
    </w:p>
    <w:p>
      <w:pPr>
        <w:spacing w:after="120" w:line="276"/>
      </w:pPr>
      <w:r>
        <w:rPr>
          <w:rFonts w:ascii="Calibri" w:cs="Calibri" w:eastAsia="Calibri" w:hAnsi="Calibri"/>
          <w:color w:val="28251D"/>
          <w:sz w:val="21"/>
          <w:szCs w:val="21"/>
        </w:rPr>
        <w:t xml:space="preserve">Le crédit-bail (leasing) est une solution particulièrement adaptée au financement du matériel agricole : tracteurs, moissonneuses-batteuses, matériel d'irrigation, camions et véhicules commerciaux. Il permet de financer jusqu'à 100 % de l'acquisition (local ou import) tout en préservant les fonds propres de l'exploitation.</w:t>
      </w:r>
      <w:r>
        <w:rPr>
          <w:rStyle w:val="FootnoteReference"/>
        </w:rPr>
        <w:footnoteReference w:id="9"/>
      </w:r>
    </w:p>
    <w:p>
      <w:pPr>
        <w:pStyle w:val="Heading3"/>
      </w:pPr>
      <w:r>
        <w:rPr>
          <w:rFonts w:ascii="Calibri" w:cs="Calibri" w:eastAsia="Calibri" w:hAnsi="Calibri"/>
          <w:b/>
          <w:bCs/>
          <w:color w:val="437A22"/>
          <w:sz w:val="22"/>
          <w:szCs w:val="22"/>
        </w:rPr>
        <w:t xml:space="preserve">5.1 Avantages du leasing</w:t>
      </w:r>
    </w:p>
    <w:p>
      <w:pPr>
        <w:pStyle w:val="ListParagraph"/>
        <w:numPr>
          <w:ilvl w:val="0"/>
          <w:numId w:val="2"/>
        </w:numPr>
        <w:spacing w:after="80" w:line="270"/>
      </w:pPr>
      <w:r>
        <w:rPr>
          <w:rFonts w:ascii="Calibri" w:cs="Calibri" w:eastAsia="Calibri" w:hAnsi="Calibri"/>
          <w:color w:val="28251D"/>
          <w:sz w:val="21"/>
          <w:szCs w:val="21"/>
        </w:rPr>
        <w:t xml:space="preserve">Financement pouvant atteindre 100 % de la valeur du matériel.</w:t>
      </w:r>
    </w:p>
    <w:p>
      <w:pPr>
        <w:pStyle w:val="ListParagraph"/>
        <w:numPr>
          <w:ilvl w:val="0"/>
          <w:numId w:val="2"/>
        </w:numPr>
        <w:spacing w:after="80" w:line="270"/>
      </w:pPr>
      <w:r>
        <w:rPr>
          <w:rFonts w:ascii="Calibri" w:cs="Calibri" w:eastAsia="Calibri" w:hAnsi="Calibri"/>
          <w:color w:val="28251D"/>
          <w:sz w:val="21"/>
          <w:szCs w:val="21"/>
        </w:rPr>
        <w:t xml:space="preserve">Souplesse et adaptation à la saisonnalité de l'activité agricole (échéanciers modulables).</w:t>
      </w:r>
    </w:p>
    <w:p>
      <w:pPr>
        <w:pStyle w:val="ListParagraph"/>
        <w:numPr>
          <w:ilvl w:val="0"/>
          <w:numId w:val="2"/>
        </w:numPr>
        <w:spacing w:after="80" w:line="270"/>
      </w:pPr>
      <w:r>
        <w:rPr>
          <w:rFonts w:ascii="Calibri" w:cs="Calibri" w:eastAsia="Calibri" w:hAnsi="Calibri"/>
          <w:color w:val="28251D"/>
          <w:sz w:val="21"/>
          <w:szCs w:val="21"/>
        </w:rPr>
        <w:t xml:space="preserve">Loyers intégralement déductibles du résultat imposable (avantage fiscal).</w:t>
      </w:r>
    </w:p>
    <w:p>
      <w:pPr>
        <w:pStyle w:val="ListParagraph"/>
        <w:numPr>
          <w:ilvl w:val="0"/>
          <w:numId w:val="2"/>
        </w:numPr>
        <w:spacing w:after="80" w:line="270"/>
      </w:pPr>
      <w:r>
        <w:rPr>
          <w:rFonts w:ascii="Calibri" w:cs="Calibri" w:eastAsia="Calibri" w:hAnsi="Calibri"/>
          <w:color w:val="28251D"/>
          <w:sz w:val="21"/>
          <w:szCs w:val="21"/>
        </w:rPr>
        <w:t xml:space="preserve">Préservation de la capacité d'endettement bancaire pour d'autres besoins.</w:t>
      </w:r>
    </w:p>
    <w:p>
      <w:pPr>
        <w:pStyle w:val="ListParagraph"/>
        <w:numPr>
          <w:ilvl w:val="0"/>
          <w:numId w:val="2"/>
        </w:numPr>
        <w:spacing w:after="80" w:line="270"/>
      </w:pPr>
      <w:r>
        <w:rPr>
          <w:rFonts w:ascii="Calibri" w:cs="Calibri" w:eastAsia="Calibri" w:hAnsi="Calibri"/>
          <w:color w:val="28251D"/>
          <w:sz w:val="21"/>
          <w:szCs w:val="21"/>
        </w:rPr>
        <w:t xml:space="preserve">Taux préférentiels affichés à partir d'environ 8 % chez certains opérateurs spécialisés.</w:t>
      </w:r>
    </w:p>
    <w:p>
      <w:pPr>
        <w:pStyle w:val="Heading3"/>
      </w:pPr>
      <w:r>
        <w:rPr>
          <w:rFonts w:ascii="Calibri" w:cs="Calibri" w:eastAsia="Calibri" w:hAnsi="Calibri"/>
          <w:b/>
          <w:bCs/>
          <w:color w:val="437A22"/>
          <w:sz w:val="22"/>
          <w:szCs w:val="22"/>
        </w:rPr>
        <w:t xml:space="preserve">5.2 Acteurs et combinaison avec les primes APIA</w:t>
      </w:r>
    </w:p>
    <w:p>
      <w:pPr>
        <w:spacing w:after="120" w:line="276"/>
      </w:pPr>
      <w:r>
        <w:rPr>
          <w:rFonts w:ascii="Calibri" w:cs="Calibri" w:eastAsia="Calibri" w:hAnsi="Calibri"/>
          <w:color w:val="28251D"/>
          <w:sz w:val="21"/>
          <w:szCs w:val="21"/>
        </w:rPr>
        <w:t xml:space="preserve">Plusieurs sociétés (BTK Leasing, Tunisie Leasing &amp; Factoring, Attijari Leasing, etc.) disposent d'offres ciblant les agriculteurs, artisans et commerçants. Point important : les contrats de leasing peuvent être intégrés au dossier d'avantages fiscaux et de primes de l'APIA, l'attestation et l'échéancier de règlement faisant partie des pièces acceptées pour les projets de services liés à l'agriculture.</w:t>
      </w:r>
    </w:p>
    <w:p>
      <w:pPr>
        <w:spacing w:after="120" w:line="276"/>
      </w:pPr>
      <w:r>
        <w:rPr>
          <w:rFonts w:ascii="Calibri" w:cs="Calibri" w:eastAsia="Calibri" w:hAnsi="Calibri"/>
          <w:i/>
          <w:iCs/>
          <w:color w:val="5F5E58"/>
          <w:sz w:val="18"/>
          <w:szCs w:val="18"/>
        </w:rPr>
        <w:t xml:space="preserve">Source : APIA, pièces du dossier (contrats de crédit leasing acceptés).</w:t>
      </w:r>
      <w:r>
        <w:rPr>
          <w:rStyle w:val="FootnoteReference"/>
        </w:rPr>
        <w:footnoteReference w:id="14"/>
      </w:r>
    </w:p>
    <w:p>
      <w:pPr>
        <w:pStyle w:val="Heading1"/>
      </w:pPr>
      <w:r>
        <w:rPr>
          <w:rFonts w:ascii="Calibri" w:cs="Calibri" w:eastAsia="Calibri" w:hAnsi="Calibri"/>
          <w:b/>
          <w:bCs/>
          <w:color w:val="1B5E20"/>
          <w:sz w:val="32"/>
          <w:szCs w:val="32"/>
        </w:rPr>
        <w:t xml:space="preserve">6. La microfinance agricole</w:t>
      </w:r>
    </w:p>
    <w:p>
      <w:pPr>
        <w:spacing w:after="120" w:line="276"/>
      </w:pPr>
      <w:r>
        <w:rPr>
          <w:rFonts w:ascii="Calibri" w:cs="Calibri" w:eastAsia="Calibri" w:hAnsi="Calibri"/>
          <w:color w:val="28251D"/>
          <w:sz w:val="21"/>
          <w:szCs w:val="21"/>
        </w:rPr>
        <w:t xml:space="preserve">Pour les petits agriculteurs et les exploitations familiales qui n'accèdent pas facilement au crédit bancaire classique, la microfinance constitue un levier essentiel. Enda Tamweel, principale institution de microfinance du pays, propose un Pack Agricole dédié au financement des cycles de production et des petits équipements.</w:t>
      </w:r>
      <w:r>
        <w:rPr>
          <w:rStyle w:val="FootnoteReference"/>
        </w:rPr>
        <w:footnoteReference w:id="8"/>
      </w:r>
    </w:p>
    <w:p>
      <w:pPr>
        <w:pStyle w:val="Heading3"/>
      </w:pPr>
      <w:r>
        <w:rPr>
          <w:rFonts w:ascii="Calibri" w:cs="Calibri" w:eastAsia="Calibri" w:hAnsi="Calibri"/>
          <w:b/>
          <w:bCs/>
          <w:color w:val="437A22"/>
          <w:sz w:val="22"/>
          <w:szCs w:val="22"/>
        </w:rPr>
        <w:t xml:space="preserve">6.1 À qui s'adresse la microfinance ?</w:t>
      </w:r>
    </w:p>
    <w:p>
      <w:pPr>
        <w:pStyle w:val="ListParagraph"/>
        <w:numPr>
          <w:ilvl w:val="0"/>
          <w:numId w:val="2"/>
        </w:numPr>
        <w:spacing w:after="80" w:line="270"/>
      </w:pPr>
      <w:r>
        <w:rPr>
          <w:rFonts w:ascii="Calibri" w:cs="Calibri" w:eastAsia="Calibri" w:hAnsi="Calibri"/>
          <w:color w:val="28251D"/>
          <w:sz w:val="21"/>
          <w:szCs w:val="21"/>
        </w:rPr>
        <w:t xml:space="preserve">Petits agriculteurs et éleveurs sans accès au crédit bancaire formel.</w:t>
      </w:r>
    </w:p>
    <w:p>
      <w:pPr>
        <w:pStyle w:val="ListParagraph"/>
        <w:numPr>
          <w:ilvl w:val="0"/>
          <w:numId w:val="2"/>
        </w:numPr>
        <w:spacing w:after="80" w:line="270"/>
      </w:pPr>
      <w:r>
        <w:rPr>
          <w:rFonts w:ascii="Calibri" w:cs="Calibri" w:eastAsia="Calibri" w:hAnsi="Calibri"/>
          <w:color w:val="28251D"/>
          <w:sz w:val="21"/>
          <w:szCs w:val="21"/>
        </w:rPr>
        <w:t xml:space="preserve">Exploitations familiales ayant besoin de financer intrants, semences ou cheptel.</w:t>
      </w:r>
    </w:p>
    <w:p>
      <w:pPr>
        <w:pStyle w:val="ListParagraph"/>
        <w:numPr>
          <w:ilvl w:val="0"/>
          <w:numId w:val="2"/>
        </w:numPr>
        <w:spacing w:after="80" w:line="270"/>
      </w:pPr>
      <w:r>
        <w:rPr>
          <w:rFonts w:ascii="Calibri" w:cs="Calibri" w:eastAsia="Calibri" w:hAnsi="Calibri"/>
          <w:color w:val="28251D"/>
          <w:sz w:val="21"/>
          <w:szCs w:val="21"/>
        </w:rPr>
        <w:t xml:space="preserve">Femmes rurales et porteurs de projets dans les zones intérieures.</w:t>
      </w:r>
    </w:p>
    <w:p>
      <w:pPr>
        <w:pStyle w:val="ListParagraph"/>
        <w:numPr>
          <w:ilvl w:val="0"/>
          <w:numId w:val="2"/>
        </w:numPr>
        <w:spacing w:after="80" w:line="270"/>
      </w:pPr>
      <w:r>
        <w:rPr>
          <w:rFonts w:ascii="Calibri" w:cs="Calibri" w:eastAsia="Calibri" w:hAnsi="Calibri"/>
          <w:color w:val="28251D"/>
          <w:sz w:val="21"/>
          <w:szCs w:val="21"/>
        </w:rPr>
        <w:t xml:space="preserve">Activités génératrices de revenus en milieu rural (transformation artisanale, élevage).</w:t>
      </w:r>
    </w:p>
    <w:p>
      <w:pPr>
        <w:pStyle w:val="Heading3"/>
      </w:pPr>
      <w:r>
        <w:rPr>
          <w:rFonts w:ascii="Calibri" w:cs="Calibri" w:eastAsia="Calibri" w:hAnsi="Calibri"/>
          <w:b/>
          <w:bCs/>
          <w:color w:val="437A22"/>
          <w:sz w:val="22"/>
          <w:szCs w:val="22"/>
        </w:rPr>
        <w:t xml:space="preserve">6.2 Caractéristiques et limites</w:t>
      </w:r>
    </w:p>
    <w:p>
      <w:pPr>
        <w:spacing w:after="120" w:line="276"/>
      </w:pPr>
      <w:r>
        <w:rPr>
          <w:rFonts w:ascii="Calibri" w:cs="Calibri" w:eastAsia="Calibri" w:hAnsi="Calibri"/>
          <w:color w:val="28251D"/>
          <w:sz w:val="21"/>
          <w:szCs w:val="21"/>
        </w:rPr>
        <w:t xml:space="preserve">Les micro-crédits se distinguent par des montants modestes, des procédures allégées et une proximité de terrain, ce qui en fait un outil de premier financement ou de complément. En contrepartie, les taux sont généralement plus élevés que ceux du crédit bancaire, et les montants restent limités. La microfinance est donc à privilégier pour amorcer une activité ou financer un besoin ponctuel, avant d'envisager un crédit d'investissement plus structurant.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5E20" w:sz="4"/>
              <w:left w:val="single" w:color="1B5E20" w:sz="18"/>
              <w:bottom w:val="single" w:color="1B5E20" w:sz="4"/>
              <w:right w:val="single" w:color="1B5E20" w:sz="4"/>
            </w:tcBorders>
            <w:shd w:fill="E8F0E3" w:color="auto" w:val="clear"/>
            <w:tcMar>
              <w:top w:type="dxa" w:w="120"/>
              <w:left w:type="dxa" w:w="200"/>
              <w:bottom w:type="dxa" w:w="120"/>
              <w:right w:type="dxa" w:w="160"/>
            </w:tcMar>
          </w:tcPr>
          <w:p>
            <w:pPr>
              <w:spacing w:after="60"/>
            </w:pPr>
            <w:r>
              <w:rPr>
                <w:rFonts w:ascii="Calibri" w:cs="Calibri" w:eastAsia="Calibri" w:hAnsi="Calibri"/>
                <w:b/>
                <w:bCs/>
                <w:color w:val="1B5E20"/>
                <w:sz w:val="21"/>
                <w:szCs w:val="21"/>
              </w:rPr>
              <w:t xml:space="preserve">Conseil</w:t>
            </w:r>
          </w:p>
          <w:p>
            <w:pPr>
              <w:spacing w:after="50" w:line="268"/>
            </w:pPr>
            <w:r>
              <w:rPr>
                <w:rFonts w:ascii="Calibri" w:cs="Calibri" w:eastAsia="Calibri" w:hAnsi="Calibri"/>
                <w:color w:val="28251D"/>
                <w:sz w:val="20"/>
                <w:szCs w:val="20"/>
              </w:rPr>
              <w:t xml:space="preserve">La microfinance peut servir de « tremplin » : un premier micro-crédit bien remboursé construit un historique de crédit qui facilitera ensuite l'accès à un financement bancaire (BTS, BNA) et aux primes de l'APIA pour un projet plus ambitieux.</w:t>
            </w:r>
          </w:p>
        </w:tc>
      </w:tr>
    </w:tbl>
    <w:p>
      <w:pPr>
        <w:pStyle w:val="Heading1"/>
      </w:pPr>
      <w:r>
        <w:rPr>
          <w:rFonts w:ascii="Calibri" w:cs="Calibri" w:eastAsia="Calibri" w:hAnsi="Calibri"/>
          <w:b/>
          <w:bCs/>
          <w:color w:val="1B5E20"/>
          <w:sz w:val="32"/>
          <w:szCs w:val="32"/>
        </w:rPr>
        <w:t xml:space="preserve">7. Capital-risque, garanties et Startup Act (agritech)</w:t>
      </w:r>
    </w:p>
    <w:p>
      <w:pPr>
        <w:spacing w:after="120" w:line="276"/>
      </w:pPr>
      <w:r>
        <w:rPr>
          <w:rFonts w:ascii="Calibri" w:cs="Calibri" w:eastAsia="Calibri" w:hAnsi="Calibri"/>
          <w:color w:val="28251D"/>
          <w:sz w:val="21"/>
          <w:szCs w:val="21"/>
        </w:rPr>
        <w:t xml:space="preserve">Les projets innovants et à fort potentiel de croissance — en particulier l'agritech et la transformation à valeur ajoutée — peuvent mobiliser des financements en fonds propres et des dispositifs dédiés aux startups.</w:t>
      </w:r>
    </w:p>
    <w:p>
      <w:pPr>
        <w:pStyle w:val="Heading3"/>
      </w:pPr>
      <w:r>
        <w:rPr>
          <w:rFonts w:ascii="Calibri" w:cs="Calibri" w:eastAsia="Calibri" w:hAnsi="Calibri"/>
          <w:b/>
          <w:bCs/>
          <w:color w:val="437A22"/>
          <w:sz w:val="22"/>
          <w:szCs w:val="22"/>
        </w:rPr>
        <w:t xml:space="preserve">7.1 Le capital-risque : SICAR et FCPR</w:t>
      </w:r>
    </w:p>
    <w:p>
      <w:pPr>
        <w:spacing w:after="120" w:line="276"/>
      </w:pPr>
      <w:r>
        <w:rPr>
          <w:rFonts w:ascii="Calibri" w:cs="Calibri" w:eastAsia="Calibri" w:hAnsi="Calibri"/>
          <w:color w:val="28251D"/>
          <w:sz w:val="21"/>
          <w:szCs w:val="21"/>
        </w:rPr>
        <w:t xml:space="preserve">Les Sociétés d'Investissement à Capital Risque (SICAR) et les Fonds Communs de Placement à Risque (FCPR) renforcent les fonds propres et quasi-fonds propres des entreprises non cotées, par souscription d'actions, d'obligations convertibles ou de titres participatifs. Ils interviennent souvent en complément du Fonds Tunisien d'Investissement et des prêts participatifs.</w:t>
      </w:r>
      <w:r>
        <w:rPr>
          <w:rStyle w:val="FootnoteReference"/>
        </w:rPr>
        <w:footnoteReference w:id="4"/>
      </w:r>
    </w:p>
    <w:p>
      <w:pPr>
        <w:pStyle w:val="Heading3"/>
      </w:pPr>
      <w:r>
        <w:rPr>
          <w:rFonts w:ascii="Calibri" w:cs="Calibri" w:eastAsia="Calibri" w:hAnsi="Calibri"/>
          <w:b/>
          <w:bCs/>
          <w:color w:val="437A22"/>
          <w:sz w:val="22"/>
          <w:szCs w:val="22"/>
        </w:rPr>
        <w:t xml:space="preserve">7.2 Le Fonds Tunisien d'Investissement (participation au capital)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Caractéristique</w:t>
            </w:r>
          </w:p>
        </w:tc>
        <w:tc>
          <w:tcPr>
            <w:tcW w:type="dxa" w:w="61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Participation FTI</w:t>
            </w:r>
          </w:p>
        </w:tc>
      </w:tr>
      <w:tr>
        <w:tc>
          <w:tcPr>
            <w:tcW w:type="dxa" w:w="32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Projet ≤ 2 M DT</w:t>
            </w:r>
          </w:p>
        </w:tc>
        <w:tc>
          <w:tcPr>
            <w:tcW w:type="dxa" w:w="61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Participation &lt; 60 % du capital</w:t>
            </w:r>
          </w:p>
        </w:tc>
      </w:tr>
      <w:tr>
        <w:tc>
          <w:tcPr>
            <w:tcW w:type="dxa" w:w="32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Projet &gt; 2 M DT</w:t>
            </w:r>
          </w:p>
        </w:tc>
        <w:tc>
          <w:tcPr>
            <w:tcW w:type="dxa" w:w="61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Participation &lt; 30 % du capital</w:t>
            </w:r>
          </w:p>
        </w:tc>
      </w:tr>
      <w:tr>
        <w:tc>
          <w:tcPr>
            <w:tcW w:type="dxa" w:w="32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Plafond absolu</w:t>
            </w:r>
          </w:p>
        </w:tc>
        <w:tc>
          <w:tcPr>
            <w:tcW w:type="dxa" w:w="61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2 millions de dinars</w:t>
            </w:r>
          </w:p>
        </w:tc>
      </w:tr>
      <w:tr>
        <w:tc>
          <w:tcPr>
            <w:tcW w:type="dxa" w:w="32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Volume d'investissement éligible</w:t>
            </w:r>
          </w:p>
        </w:tc>
        <w:tc>
          <w:tcPr>
            <w:tcW w:type="dxa" w:w="61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 15 M DT (création/extension)</w:t>
            </w:r>
          </w:p>
        </w:tc>
      </w:tr>
      <w:tr>
        <w:tc>
          <w:tcPr>
            <w:tcW w:type="dxa" w:w="32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Apport personnel exigé</w:t>
            </w:r>
          </w:p>
        </w:tc>
        <w:tc>
          <w:tcPr>
            <w:tcW w:type="dxa" w:w="61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&gt; 10 % (≤ 2 M DT) / &gt; 20 % (&gt; 2 M DT)</w:t>
            </w:r>
          </w:p>
        </w:tc>
      </w:tr>
      <w:tr>
        <w:tc>
          <w:tcPr>
            <w:tcW w:type="dxa" w:w="32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Rétrocession</w:t>
            </w:r>
          </w:p>
        </w:tc>
        <w:tc>
          <w:tcPr>
            <w:tcW w:type="dxa" w:w="61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Valeur nominale, max 12 ans (+1 %/an ou +3 %/an)</w:t>
            </w:r>
          </w:p>
        </w:tc>
      </w:tr>
    </w:tbl>
    <w:p>
      <w:pPr>
        <w:spacing w:after="140" w:line="276"/>
      </w:pPr>
      <w:r>
        <w:rPr>
          <w:rFonts w:ascii="Calibri" w:cs="Calibri" w:eastAsia="Calibri" w:hAnsi="Calibri"/>
          <w:i/>
          <w:iCs/>
          <w:color w:val="5F5E58"/>
          <w:sz w:val="18"/>
          <w:szCs w:val="18"/>
        </w:rPr>
        <w:t xml:space="preserve">Source : TIA, Fonds Tunisien d'Investissement.</w:t>
      </w:r>
      <w:r>
        <w:rPr>
          <w:rStyle w:val="FootnoteReference"/>
        </w:rPr>
        <w:footnoteReference w:id="4"/>
      </w:r>
    </w:p>
    <w:p>
      <w:pPr>
        <w:pStyle w:val="Heading3"/>
      </w:pPr>
      <w:r>
        <w:rPr>
          <w:rFonts w:ascii="Calibri" w:cs="Calibri" w:eastAsia="Calibri" w:hAnsi="Calibri"/>
          <w:b/>
          <w:bCs/>
          <w:color w:val="437A22"/>
          <w:sz w:val="22"/>
          <w:szCs w:val="22"/>
        </w:rPr>
        <w:t xml:space="preserve">7.3 La garantie SOTUGAR</w:t>
      </w:r>
    </w:p>
    <w:p>
      <w:pPr>
        <w:spacing w:after="120" w:line="276"/>
      </w:pPr>
      <w:r>
        <w:rPr>
          <w:rFonts w:ascii="Calibri" w:cs="Calibri" w:eastAsia="Calibri" w:hAnsi="Calibri"/>
          <w:color w:val="28251D"/>
          <w:sz w:val="21"/>
          <w:szCs w:val="21"/>
        </w:rPr>
        <w:t xml:space="preserve">Le manque de garanties est un obstacle fréquent. La Société Tunisienne de Garantie (SOTUGAR) gère plusieurs fonds de garantie (FGPME, FG Startups, etc.) qui couvrent une partie du risque pris par la banque ou la SICAR, facilitant ainsi l'octroi du financement. Le Fonds de Garantie pour les Startups garantit notamment les participations en capital dans les sociétés labellisées « Startup ».</w:t>
      </w:r>
      <w:r>
        <w:rPr>
          <w:rStyle w:val="FootnoteReference"/>
        </w:rPr>
        <w:footnoteReference w:id="11"/>
      </w:r>
    </w:p>
    <w:p>
      <w:pPr>
        <w:pStyle w:val="Heading3"/>
      </w:pPr>
      <w:r>
        <w:rPr>
          <w:rFonts w:ascii="Calibri" w:cs="Calibri" w:eastAsia="Calibri" w:hAnsi="Calibri"/>
          <w:b/>
          <w:bCs/>
          <w:color w:val="437A22"/>
          <w:sz w:val="22"/>
          <w:szCs w:val="22"/>
        </w:rPr>
        <w:t xml:space="preserve">7.4 Le Startup Act — pour l'agritech</w:t>
      </w:r>
    </w:p>
    <w:p>
      <w:pPr>
        <w:spacing w:after="120" w:line="276"/>
      </w:pPr>
      <w:r>
        <w:rPr>
          <w:rFonts w:ascii="Calibri" w:cs="Calibri" w:eastAsia="Calibri" w:hAnsi="Calibri"/>
          <w:color w:val="28251D"/>
          <w:sz w:val="21"/>
          <w:szCs w:val="21"/>
        </w:rPr>
        <w:t xml:space="preserve">Les porteurs de projets innovants peuvent solliciter le Label Startup, qui ouvre droit à un ensemble d'avantages adaptés aux jeunes entreprises technologiques, y compris dans l'agritech.</w:t>
      </w:r>
      <w:r>
        <w:rPr>
          <w:rStyle w:val="FootnoteReference"/>
        </w:rPr>
        <w:footnoteReference w:id="10"/>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rPr>
          <w:tblHeader/>
        </w:trPr>
        <w:tc>
          <w:tcPr>
            <w:tcW w:type="dxa" w:w="37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Critère du Label Startup</w:t>
            </w:r>
          </w:p>
        </w:tc>
        <w:tc>
          <w:tcPr>
            <w:tcW w:type="dxa" w:w="56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Exigence</w:t>
            </w:r>
          </w:p>
        </w:tc>
      </w:tr>
      <w:tr>
        <w:tc>
          <w:tcPr>
            <w:tcW w:type="dxa" w:w="37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Ancienneté</w:t>
            </w:r>
          </w:p>
        </w:tc>
        <w:tc>
          <w:tcPr>
            <w:tcW w:type="dxa" w:w="56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&lt; 8 ans depuis la constitution</w:t>
            </w:r>
          </w:p>
        </w:tc>
      </w:tr>
      <w:tr>
        <w:tc>
          <w:tcPr>
            <w:tcW w:type="dxa" w:w="37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Taille</w:t>
            </w:r>
          </w:p>
        </w:tc>
        <w:tc>
          <w:tcPr>
            <w:tcW w:type="dxa" w:w="56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&lt; 100 employés et &lt; 15 M DT (bilan ou CA)</w:t>
            </w:r>
          </w:p>
        </w:tc>
      </w:tr>
      <w:tr>
        <w:tc>
          <w:tcPr>
            <w:tcW w:type="dxa" w:w="37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Indépendance du capital</w:t>
            </w:r>
          </w:p>
        </w:tc>
        <w:tc>
          <w:tcPr>
            <w:tcW w:type="dxa" w:w="56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&gt; 2/3 détenus par personnes physiques / fonds régulés</w:t>
            </w:r>
          </w:p>
        </w:tc>
      </w:tr>
      <w:tr>
        <w:tc>
          <w:tcPr>
            <w:tcW w:type="dxa" w:w="37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Innovation</w:t>
            </w:r>
          </w:p>
        </w:tc>
        <w:tc>
          <w:tcPr>
            <w:tcW w:type="dxa" w:w="56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Modèle d'affaires innovant et différencié</w:t>
            </w:r>
          </w:p>
        </w:tc>
      </w:tr>
      <w:tr>
        <w:tc>
          <w:tcPr>
            <w:tcW w:type="dxa" w:w="37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Scalabilité</w:t>
            </w:r>
          </w:p>
        </w:tc>
        <w:tc>
          <w:tcPr>
            <w:tcW w:type="dxa" w:w="56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Marché large, produit au stade POC minimum</w:t>
            </w:r>
          </w:p>
        </w:tc>
      </w:tr>
    </w:tbl>
    <w:p>
      <w:pPr>
        <w:spacing w:after="120" w:line="276"/>
      </w:pPr>
      <w:r>
        <w:rPr>
          <w:rFonts w:ascii="Calibri" w:cs="Calibri" w:eastAsia="Calibri" w:hAnsi="Calibri"/>
          <w:color w:val="28251D"/>
          <w:sz w:val="21"/>
          <w:szCs w:val="21"/>
        </w:rPr>
        <w:t xml:space="preserve">Avantages associés : congé pour création d'entreprise (1 an renouvelable), bourse de startup pour les fondateurs la première année, prise en charge des frais de brevet, exonérations fiscales pouvant aller jusqu'à huit ans, et compte spécial en devises. Le dépôt se fait en ligne via le portail Startup (sessions de labellisation du 1er au 8 de chaque mois, frais de dossier de 100 DT).</w:t>
      </w:r>
    </w:p>
    <w:p>
      <w:pPr>
        <w:spacing w:after="120" w:line="276"/>
      </w:pPr>
      <w:r>
        <w:rPr>
          <w:rFonts w:ascii="Calibri" w:cs="Calibri" w:eastAsia="Calibri" w:hAnsi="Calibri"/>
          <w:i/>
          <w:iCs/>
          <w:color w:val="5F5E58"/>
          <w:sz w:val="18"/>
          <w:szCs w:val="18"/>
        </w:rPr>
        <w:t xml:space="preserve">Source : Startup Act Tunisie, critères et procédure.</w:t>
      </w:r>
      <w:r>
        <w:rPr>
          <w:rStyle w:val="FootnoteReference"/>
        </w:rPr>
        <w:footnoteReference w:id="10"/>
      </w:r>
    </w:p>
    <w:p>
      <w:pPr>
        <w:pStyle w:val="Heading1"/>
      </w:pPr>
      <w:r>
        <w:rPr>
          <w:rFonts w:ascii="Calibri" w:cs="Calibri" w:eastAsia="Calibri" w:hAnsi="Calibri"/>
          <w:b/>
          <w:bCs/>
          <w:color w:val="1B5E20"/>
          <w:sz w:val="32"/>
          <w:szCs w:val="32"/>
        </w:rPr>
        <w:t xml:space="preserve">8. Les bailleurs et programmes internationaux</w:t>
      </w:r>
    </w:p>
    <w:p>
      <w:pPr>
        <w:spacing w:after="120" w:line="276"/>
      </w:pPr>
      <w:r>
        <w:rPr>
          <w:rFonts w:ascii="Calibri" w:cs="Calibri" w:eastAsia="Calibri" w:hAnsi="Calibri"/>
          <w:color w:val="28251D"/>
          <w:sz w:val="21"/>
          <w:szCs w:val="21"/>
        </w:rPr>
        <w:t xml:space="preserve">Au-delà des dispositifs nationaux, plusieurs partenaires internationaux financent le développement agricole et rural en Tunisie, souvent via des lignes de crédit rétrocédées par les banques locales ou des programmes territoriaux.</w:t>
      </w:r>
    </w:p>
    <w:p>
      <w:pPr>
        <w:pStyle w:val="Heading3"/>
      </w:pPr>
      <w:r>
        <w:rPr>
          <w:rFonts w:ascii="Calibri" w:cs="Calibri" w:eastAsia="Calibri" w:hAnsi="Calibri"/>
          <w:b/>
          <w:bCs/>
          <w:color w:val="437A22"/>
          <w:sz w:val="22"/>
          <w:szCs w:val="22"/>
        </w:rPr>
        <w:t xml:space="preserve">8.1 Le FIDA (Fonds International de Développement Agricole)</w:t>
      </w:r>
    </w:p>
    <w:p>
      <w:pPr>
        <w:spacing w:after="120" w:line="276"/>
      </w:pPr>
      <w:r>
        <w:rPr>
          <w:rFonts w:ascii="Calibri" w:cs="Calibri" w:eastAsia="Calibri" w:hAnsi="Calibri"/>
          <w:color w:val="28251D"/>
          <w:sz w:val="21"/>
          <w:szCs w:val="21"/>
        </w:rPr>
        <w:t xml:space="preserve">Le FIDA est un partenaire de long terme de la Tunisie. Il finance des programmes d'amélioration des conditions de vie des familles rurales pauvres, d'appui aux petits producteurs et de structuration des filières. La Tunisie a par ailleurs validé sa souscription au FIDA, confortant cette coopération.</w:t>
      </w:r>
      <w:r>
        <w:rPr>
          <w:rStyle w:val="FootnoteReference"/>
        </w:rPr>
        <w:footnoteReference w:id="12"/>
      </w:r>
    </w:p>
    <w:p>
      <w:pPr>
        <w:pStyle w:val="Heading3"/>
      </w:pPr>
      <w:r>
        <w:rPr>
          <w:rFonts w:ascii="Calibri" w:cs="Calibri" w:eastAsia="Calibri" w:hAnsi="Calibri"/>
          <w:b/>
          <w:bCs/>
          <w:color w:val="437A22"/>
          <w:sz w:val="22"/>
          <w:szCs w:val="22"/>
        </w:rPr>
        <w:t xml:space="preserve">8.2 La Banque mondiale</w:t>
      </w:r>
    </w:p>
    <w:p>
      <w:pPr>
        <w:spacing w:after="120" w:line="276"/>
      </w:pPr>
      <w:r>
        <w:rPr>
          <w:rFonts w:ascii="Calibri" w:cs="Calibri" w:eastAsia="Calibri" w:hAnsi="Calibri"/>
          <w:color w:val="28251D"/>
          <w:sz w:val="21"/>
          <w:szCs w:val="21"/>
        </w:rPr>
        <w:t xml:space="preserve">La Banque mondiale soutient des projets structurants, notamment dans le domaine de la sécurité hydrique et de la résilience face au changement climatique — un enjeu majeur pour l'agriculture irriguée tunisienne. Ces financements bénéficient indirectement aux exploitations à travers l'amélioration des infrastructures d'eau et des services.</w:t>
      </w:r>
      <w:r>
        <w:rPr>
          <w:rStyle w:val="FootnoteReference"/>
        </w:rPr>
        <w:footnoteReference w:id="13"/>
      </w:r>
    </w:p>
    <w:p>
      <w:pPr>
        <w:pStyle w:val="Heading3"/>
      </w:pPr>
      <w:r>
        <w:rPr>
          <w:rFonts w:ascii="Calibri" w:cs="Calibri" w:eastAsia="Calibri" w:hAnsi="Calibri"/>
          <w:b/>
          <w:bCs/>
          <w:color w:val="437A22"/>
          <w:sz w:val="22"/>
          <w:szCs w:val="22"/>
        </w:rPr>
        <w:t xml:space="preserve">8.3 Autres partenaires et mécanismes</w:t>
      </w:r>
    </w:p>
    <w:p>
      <w:pPr>
        <w:pStyle w:val="ListParagraph"/>
        <w:numPr>
          <w:ilvl w:val="0"/>
          <w:numId w:val="2"/>
        </w:numPr>
        <w:spacing w:after="80" w:line="270"/>
      </w:pPr>
      <w:r>
        <w:rPr>
          <w:rFonts w:ascii="Calibri" w:cs="Calibri" w:eastAsia="Calibri" w:hAnsi="Calibri"/>
          <w:color w:val="28251D"/>
          <w:sz w:val="21"/>
          <w:szCs w:val="21"/>
        </w:rPr>
        <w:t xml:space="preserve">Green Climate Fund : l'APIA est accréditée comme entité d'accès, ce qui ouvre la voie à des financements climatiques pour des projets agricoles durables.</w:t>
      </w:r>
    </w:p>
    <w:p>
      <w:pPr>
        <w:pStyle w:val="ListParagraph"/>
        <w:numPr>
          <w:ilvl w:val="0"/>
          <w:numId w:val="2"/>
        </w:numPr>
        <w:spacing w:after="80" w:line="270"/>
      </w:pPr>
      <w:r>
        <w:rPr>
          <w:rFonts w:ascii="Calibri" w:cs="Calibri" w:eastAsia="Calibri" w:hAnsi="Calibri"/>
          <w:color w:val="28251D"/>
          <w:sz w:val="21"/>
          <w:szCs w:val="21"/>
        </w:rPr>
        <w:t xml:space="preserve">Lignes de crédit étrangères rétrocédées par la BFPME et les banques locales pour le financement à long terme des PME.</w:t>
      </w:r>
    </w:p>
    <w:p>
      <w:pPr>
        <w:pStyle w:val="ListParagraph"/>
        <w:numPr>
          <w:ilvl w:val="0"/>
          <w:numId w:val="2"/>
        </w:numPr>
        <w:spacing w:after="80" w:line="270"/>
      </w:pPr>
      <w:r>
        <w:rPr>
          <w:rFonts w:ascii="Calibri" w:cs="Calibri" w:eastAsia="Calibri" w:hAnsi="Calibri"/>
          <w:color w:val="28251D"/>
          <w:sz w:val="21"/>
          <w:szCs w:val="21"/>
        </w:rPr>
        <w:t xml:space="preserve">Coopération bilatérale (UE, agences de développement) appuyant la modernisation et l'export des filières.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5E20" w:sz="4"/>
              <w:left w:val="single" w:color="1B5E20" w:sz="18"/>
              <w:bottom w:val="single" w:color="1B5E20" w:sz="4"/>
              <w:right w:val="single" w:color="1B5E20" w:sz="4"/>
            </w:tcBorders>
            <w:shd w:fill="E8F0E3" w:color="auto" w:val="clear"/>
            <w:tcMar>
              <w:top w:type="dxa" w:w="120"/>
              <w:left w:type="dxa" w:w="200"/>
              <w:bottom w:type="dxa" w:w="120"/>
              <w:right w:type="dxa" w:w="160"/>
            </w:tcMar>
          </w:tcPr>
          <w:p>
            <w:pPr>
              <w:spacing w:after="60"/>
            </w:pPr>
            <w:r>
              <w:rPr>
                <w:rFonts w:ascii="Calibri" w:cs="Calibri" w:eastAsia="Calibri" w:hAnsi="Calibri"/>
                <w:b/>
                <w:bCs/>
                <w:color w:val="1B5E20"/>
                <w:sz w:val="21"/>
                <w:szCs w:val="21"/>
              </w:rPr>
              <w:t xml:space="preserve">Comment y accéder ?</w:t>
            </w:r>
          </w:p>
          <w:p>
            <w:pPr>
              <w:spacing w:after="50" w:line="268"/>
            </w:pPr>
            <w:r>
              <w:rPr>
                <w:rFonts w:ascii="Calibri" w:cs="Calibri" w:eastAsia="Calibri" w:hAnsi="Calibri"/>
                <w:color w:val="28251D"/>
                <w:sz w:val="20"/>
                <w:szCs w:val="20"/>
              </w:rPr>
              <w:t xml:space="preserve">Les financements des bailleurs passent rarement en direct par le promoteur individuel. Ils transitent généralement par : (1) une banque locale qui rétrocède une ligne de crédit, (2) un programme territorial géré par un ministère ou un CRDA, ou (3) une structure collective (GDA, SMSA, ONG). Se rapprocher du CRDA et de l'APIA permet d'identifier les programmes actifs dans sa région.</w:t>
            </w:r>
          </w:p>
        </w:tc>
      </w:tr>
    </w:tbl>
    <w:p>
      <w:pPr>
        <w:pStyle w:val="Heading1"/>
      </w:pPr>
      <w:r>
        <w:rPr>
          <w:rFonts w:ascii="Calibri" w:cs="Calibri" w:eastAsia="Calibri" w:hAnsi="Calibri"/>
          <w:b/>
          <w:bCs/>
          <w:color w:val="1B5E20"/>
          <w:sz w:val="32"/>
          <w:szCs w:val="32"/>
        </w:rPr>
        <w:t xml:space="preserve">9. Les avantages fiscaux du secteur agricole</w:t>
      </w:r>
    </w:p>
    <w:p>
      <w:pPr>
        <w:spacing w:after="120" w:line="276"/>
      </w:pPr>
      <w:r>
        <w:rPr>
          <w:rFonts w:ascii="Calibri" w:cs="Calibri" w:eastAsia="Calibri" w:hAnsi="Calibri"/>
          <w:color w:val="28251D"/>
          <w:sz w:val="21"/>
          <w:szCs w:val="21"/>
        </w:rPr>
        <w:t xml:space="preserve">Le secteur agricole bénéficie d'un régime fiscal de faveur défini par la loi n° 2017-8 du 14 février 2017 portant refonte du dispositif des avantages fiscaux et par la loi de l'investissement. Ces avantages améliorent significativement la rentabilité nette d'un projet et doivent être intégrés dès le business plan.</w:t>
      </w:r>
      <w:r>
        <w:rPr>
          <w:rStyle w:val="FootnoteReference"/>
        </w:rPr>
        <w:footnoteReference w:id="5"/>
      </w:r>
    </w:p>
    <w:p>
      <w:pPr>
        <w:pStyle w:val="Heading3"/>
      </w:pPr>
      <w:r>
        <w:rPr>
          <w:rFonts w:ascii="Calibri" w:cs="Calibri" w:eastAsia="Calibri" w:hAnsi="Calibri"/>
          <w:b/>
          <w:bCs/>
          <w:color w:val="437A22"/>
          <w:sz w:val="22"/>
          <w:szCs w:val="22"/>
        </w:rPr>
        <w:t xml:space="preserve">9.1 Avantages au titre de l'impôt sur les bénéfices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rPr>
          <w:tblHeader/>
        </w:trPr>
        <w:tc>
          <w:tcPr>
            <w:tcW w:type="dxa" w:w="33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Avantage</w:t>
            </w:r>
          </w:p>
        </w:tc>
        <w:tc>
          <w:tcPr>
            <w:tcW w:type="dxa" w:w="60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Portée</w:t>
            </w:r>
          </w:p>
        </w:tc>
      </w:tr>
      <w:tr>
        <w:tc>
          <w:tcPr>
            <w:tcW w:type="dxa" w:w="33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Déduction totale des bénéfices</w:t>
            </w:r>
          </w:p>
        </w:tc>
        <w:tc>
          <w:tcPr>
            <w:tcW w:type="dxa" w:w="60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Pendant les 10 premières années à partir de l'entrée en activité effective (agriculture, pêche, aquaculture)</w:t>
            </w:r>
          </w:p>
        </w:tc>
      </w:tr>
      <w:tr>
        <w:tc>
          <w:tcPr>
            <w:tcW w:type="dxa" w:w="33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Déduction partielle après les 10 ans</w:t>
            </w:r>
          </w:p>
        </w:tc>
        <w:tc>
          <w:tcPr>
            <w:tcW w:type="dxa" w:w="60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Déduction des deux tiers des revenus provenant de l'investissement agricole</w:t>
            </w:r>
          </w:p>
        </w:tc>
      </w:tr>
      <w:tr>
        <w:tc>
          <w:tcPr>
            <w:tcW w:type="dxa" w:w="33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Réinvestissement</w:t>
            </w:r>
          </w:p>
        </w:tc>
        <w:tc>
          <w:tcPr>
            <w:tcW w:type="dxa" w:w="60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Déduction totale des bénéfices réinvestis dans le capital de sociétés agricoles éligibles</w:t>
            </w:r>
          </w:p>
        </w:tc>
      </w:tr>
      <w:tr>
        <w:tc>
          <w:tcPr>
            <w:tcW w:type="dxa" w:w="33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Jeunes diplômés (&lt; 30 ans)</w:t>
            </w:r>
          </w:p>
        </w:tc>
        <w:tc>
          <w:tcPr>
            <w:tcW w:type="dxa" w:w="60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Déduction totale des bénéfices réinvestis dans des sociétés créées par de jeunes diplômés gérant le projet</w:t>
            </w:r>
          </w:p>
        </w:tc>
      </w:tr>
    </w:tbl>
    <w:p>
      <w:pPr>
        <w:spacing w:after="140" w:line="276"/>
      </w:pPr>
      <w:r>
        <w:rPr>
          <w:rFonts w:ascii="Calibri" w:cs="Calibri" w:eastAsia="Calibri" w:hAnsi="Calibri"/>
          <w:i/>
          <w:iCs/>
          <w:color w:val="5F5E58"/>
          <w:sz w:val="18"/>
          <w:szCs w:val="18"/>
        </w:rPr>
        <w:t xml:space="preserve">Source : loi 2017-8 et APIA, incitations fiscales.</w:t>
      </w:r>
      <w:r>
        <w:rPr>
          <w:rStyle w:val="FootnoteReference"/>
        </w:rPr>
        <w:footnoteReference w:id="5"/>
      </w:r>
      <w:r>
        <w:rPr>
          <w:rFonts w:ascii="Calibri" w:cs="Calibri" w:eastAsia="Calibri" w:hAnsi="Calibri"/>
          <w:color w:val="28251D"/>
          <w:sz w:val="18"/>
          <w:szCs w:val="18"/>
        </w:rPr>
        <w:t xml:space="preserve">  </w:t>
      </w:r>
      <w:r>
        <w:rPr>
          <w:rStyle w:val="FootnoteReference"/>
        </w:rPr>
        <w:footnoteReference w:id="6"/>
      </w:r>
    </w:p>
    <w:p>
      <w:pPr>
        <w:pStyle w:val="Heading3"/>
      </w:pPr>
      <w:r>
        <w:rPr>
          <w:rFonts w:ascii="Calibri" w:cs="Calibri" w:eastAsia="Calibri" w:hAnsi="Calibri"/>
          <w:b/>
          <w:bCs/>
          <w:color w:val="437A22"/>
          <w:sz w:val="22"/>
          <w:szCs w:val="22"/>
        </w:rPr>
        <w:t xml:space="preserve">9.2 Avantages au titre de la TVA et des droits de douane</w:t>
      </w:r>
    </w:p>
    <w:p>
      <w:pPr>
        <w:pStyle w:val="ListParagraph"/>
        <w:numPr>
          <w:ilvl w:val="0"/>
          <w:numId w:val="2"/>
        </w:numPr>
        <w:spacing w:after="80" w:line="270"/>
      </w:pPr>
      <w:r>
        <w:rPr>
          <w:rFonts w:ascii="Calibri" w:cs="Calibri" w:eastAsia="Calibri" w:hAnsi="Calibri"/>
          <w:color w:val="28251D"/>
          <w:sz w:val="21"/>
          <w:szCs w:val="21"/>
        </w:rPr>
        <w:t xml:space="preserve">Suspension de la TVA sur les opérations d'importation d'équipements n'ayant pas de similaires fabriqués localement (liste n° 3).</w:t>
      </w:r>
    </w:p>
    <w:p>
      <w:pPr>
        <w:pStyle w:val="ListParagraph"/>
        <w:numPr>
          <w:ilvl w:val="0"/>
          <w:numId w:val="2"/>
        </w:numPr>
        <w:spacing w:after="80" w:line="270"/>
      </w:pPr>
      <w:r>
        <w:rPr>
          <w:rFonts w:ascii="Calibri" w:cs="Calibri" w:eastAsia="Calibri" w:hAnsi="Calibri"/>
          <w:color w:val="28251D"/>
          <w:sz w:val="21"/>
          <w:szCs w:val="21"/>
        </w:rPr>
        <w:t xml:space="preserve">Réduction de la TVA à 6 % pour certaines importations d'équipements (liste n° 1).</w:t>
      </w:r>
    </w:p>
    <w:p>
      <w:pPr>
        <w:pStyle w:val="ListParagraph"/>
        <w:numPr>
          <w:ilvl w:val="0"/>
          <w:numId w:val="2"/>
        </w:numPr>
        <w:spacing w:after="80" w:line="270"/>
      </w:pPr>
      <w:r>
        <w:rPr>
          <w:rFonts w:ascii="Calibri" w:cs="Calibri" w:eastAsia="Calibri" w:hAnsi="Calibri"/>
          <w:color w:val="28251D"/>
          <w:sz w:val="21"/>
          <w:szCs w:val="21"/>
        </w:rPr>
        <w:t xml:space="preserve">Suspension de la TVA sur l'acquisition locale d'équipements nécessaires à l'investissement (liste n° 4).</w:t>
      </w:r>
    </w:p>
    <w:p>
      <w:pPr>
        <w:pStyle w:val="ListParagraph"/>
        <w:numPr>
          <w:ilvl w:val="0"/>
          <w:numId w:val="2"/>
        </w:numPr>
        <w:spacing w:after="80" w:line="270"/>
      </w:pPr>
      <w:r>
        <w:rPr>
          <w:rFonts w:ascii="Calibri" w:cs="Calibri" w:eastAsia="Calibri" w:hAnsi="Calibri"/>
          <w:color w:val="28251D"/>
          <w:sz w:val="21"/>
          <w:szCs w:val="21"/>
        </w:rPr>
        <w:t xml:space="preserve">Exonération des droits de douane pour les équipements importés sans similaire local (listes n° 1 et n° 3).</w:t>
      </w:r>
    </w:p>
    <w:p>
      <w:pPr>
        <w:pStyle w:val="ListParagraph"/>
        <w:numPr>
          <w:ilvl w:val="0"/>
          <w:numId w:val="2"/>
        </w:numPr>
        <w:spacing w:after="80" w:line="270"/>
      </w:pPr>
      <w:r>
        <w:rPr>
          <w:rFonts w:ascii="Calibri" w:cs="Calibri" w:eastAsia="Calibri" w:hAnsi="Calibri"/>
          <w:color w:val="28251D"/>
          <w:sz w:val="21"/>
          <w:szCs w:val="21"/>
        </w:rPr>
        <w:t xml:space="preserve">Suspension de la TVA sur les équipements fabriqués localement, et réduction des droits de douane à 10 % à l'importation (Décret n° 94-1031).</w:t>
      </w:r>
    </w:p>
    <w:p>
      <w:pPr>
        <w:spacing w:after="120" w:line="276"/>
      </w:pPr>
      <w:r>
        <w:rPr>
          <w:rFonts w:ascii="Calibri" w:cs="Calibri" w:eastAsia="Calibri" w:hAnsi="Calibri"/>
          <w:i/>
          <w:iCs/>
          <w:color w:val="5F5E58"/>
          <w:sz w:val="18"/>
          <w:szCs w:val="18"/>
        </w:rPr>
        <w:t xml:space="preserve">Source : APIA, régime de faveur au titre des équipements.</w:t>
      </w:r>
      <w:r>
        <w:rPr>
          <w:rStyle w:val="FootnoteReference"/>
        </w:rPr>
        <w:footnoteReference w:id="14"/>
      </w:r>
      <w:r>
        <w:rPr>
          <w:rFonts w:ascii="Calibri" w:cs="Calibri" w:eastAsia="Calibri" w:hAnsi="Calibri"/>
          <w:color w:val="28251D"/>
          <w:sz w:val="18"/>
          <w:szCs w:val="18"/>
        </w:rPr>
        <w:t xml:space="preserve">  </w:t>
      </w:r>
      <w:r>
        <w:rPr>
          <w:rStyle w:val="FootnoteReference"/>
        </w:rPr>
        <w:footnoteReference w:id="6"/>
      </w:r>
    </w:p>
    <w:p>
      <w:pPr>
        <w:pStyle w:val="Heading3"/>
      </w:pPr>
      <w:r>
        <w:rPr>
          <w:rFonts w:ascii="Calibri" w:cs="Calibri" w:eastAsia="Calibri" w:hAnsi="Calibri"/>
          <w:b/>
          <w:bCs/>
          <w:color w:val="437A22"/>
          <w:sz w:val="22"/>
          <w:szCs w:val="22"/>
        </w:rPr>
        <w:t xml:space="preserve">9.3 Avantages au titre du foncier</w:t>
      </w:r>
    </w:p>
    <w:p>
      <w:pPr>
        <w:pStyle w:val="ListParagraph"/>
        <w:numPr>
          <w:ilvl w:val="0"/>
          <w:numId w:val="2"/>
        </w:numPr>
        <w:spacing w:after="80" w:line="270"/>
      </w:pPr>
      <w:r>
        <w:rPr>
          <w:rFonts w:ascii="Calibri" w:cs="Calibri" w:eastAsia="Calibri" w:hAnsi="Calibri"/>
          <w:color w:val="28251D"/>
          <w:sz w:val="21"/>
          <w:szCs w:val="21"/>
        </w:rPr>
        <w:t xml:space="preserve">Enregistrement au droit fixe (20 DT par page) des contrats de mutation de propriété des terres agricoles pour les bénéficiaires d'un crédit foncier.</w:t>
      </w:r>
    </w:p>
    <w:p>
      <w:pPr>
        <w:pStyle w:val="ListParagraph"/>
        <w:numPr>
          <w:ilvl w:val="0"/>
          <w:numId w:val="2"/>
        </w:numPr>
        <w:spacing w:after="80" w:line="270"/>
      </w:pPr>
      <w:r>
        <w:rPr>
          <w:rFonts w:ascii="Calibri" w:cs="Calibri" w:eastAsia="Calibri" w:hAnsi="Calibri"/>
          <w:color w:val="28251D"/>
          <w:sz w:val="21"/>
          <w:szCs w:val="21"/>
        </w:rPr>
        <w:t xml:space="preserve">Restitution du droit d'enregistrement proportionnel payé sur l'achat de terres agricoles destinées à l'investissement (demande dans un délai de 3 ans, sous condition de déclaration d'investissement).</w:t>
      </w:r>
    </w:p>
    <w:p>
      <w:pPr>
        <w:spacing w:after="120" w:line="276"/>
      </w:pPr>
      <w:r>
        <w:rPr>
          <w:rFonts w:ascii="Calibri" w:cs="Calibri" w:eastAsia="Calibri" w:hAnsi="Calibri"/>
          <w:i/>
          <w:iCs/>
          <w:color w:val="5F5E58"/>
          <w:sz w:val="18"/>
          <w:szCs w:val="18"/>
        </w:rPr>
        <w:t xml:space="preserve">Source : APIA, incitations fiscales (foncier).</w:t>
      </w:r>
      <w:r>
        <w:rPr>
          <w:rStyle w:val="FootnoteReference"/>
        </w:rPr>
        <w:footnoteReference w:id="6"/>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5E20" w:sz="4"/>
              <w:left w:val="single" w:color="1B5E20" w:sz="18"/>
              <w:bottom w:val="single" w:color="1B5E20" w:sz="4"/>
              <w:right w:val="single" w:color="1B5E20" w:sz="4"/>
            </w:tcBorders>
            <w:shd w:fill="E8F0E3" w:color="auto" w:val="clear"/>
            <w:tcMar>
              <w:top w:type="dxa" w:w="120"/>
              <w:left w:type="dxa" w:w="200"/>
              <w:bottom w:type="dxa" w:w="120"/>
              <w:right w:type="dxa" w:w="160"/>
            </w:tcMar>
          </w:tcPr>
          <w:p>
            <w:pPr>
              <w:spacing w:after="60"/>
            </w:pPr>
            <w:r>
              <w:rPr>
                <w:rFonts w:ascii="Calibri" w:cs="Calibri" w:eastAsia="Calibri" w:hAnsi="Calibri"/>
                <w:b/>
                <w:bCs/>
                <w:color w:val="1B5E20"/>
                <w:sz w:val="21"/>
                <w:szCs w:val="21"/>
              </w:rPr>
              <w:t xml:space="preserve">Point de vigilance fiscale</w:t>
            </w:r>
          </w:p>
          <w:p>
            <w:pPr>
              <w:spacing w:after="50" w:line="268"/>
            </w:pPr>
            <w:r>
              <w:rPr>
                <w:rFonts w:ascii="Calibri" w:cs="Calibri" w:eastAsia="Calibri" w:hAnsi="Calibri"/>
                <w:color w:val="28251D"/>
                <w:sz w:val="20"/>
                <w:szCs w:val="20"/>
              </w:rPr>
              <w:t xml:space="preserve">Le bénéfice de la plupart des déductions est subordonné à la tenue d'une comptabilité conforme à la législation comptable des entreprises et à la régularisation de la situation vis-à-vis de la sécurité sociale (CNSS). Les avantages de l'ancien Code d'incitation aux investissements demeurent en vigueur pour les projets ayant obtenu une attestation de dépôt avant le 1er avril 2017.</w:t>
            </w:r>
          </w:p>
        </w:tc>
      </w:tr>
    </w:tbl>
    <w:p>
      <w:pPr>
        <w:pStyle w:val="Heading1"/>
      </w:pPr>
      <w:r>
        <w:rPr>
          <w:rFonts w:ascii="Calibri" w:cs="Calibri" w:eastAsia="Calibri" w:hAnsi="Calibri"/>
          <w:b/>
          <w:bCs/>
          <w:color w:val="1B5E20"/>
          <w:sz w:val="32"/>
          <w:szCs w:val="32"/>
        </w:rPr>
        <w:t xml:space="preserve">10. Démarches pratiques et montage du dossier</w:t>
      </w:r>
    </w:p>
    <w:p>
      <w:pPr>
        <w:spacing w:after="120" w:line="276"/>
      </w:pPr>
      <w:r>
        <w:rPr>
          <w:rFonts w:ascii="Calibri" w:cs="Calibri" w:eastAsia="Calibri" w:hAnsi="Calibri"/>
          <w:color w:val="28251D"/>
          <w:sz w:val="21"/>
          <w:szCs w:val="21"/>
        </w:rPr>
        <w:t xml:space="preserve">Obtenir un financement et les primes associées suit un parcours balisé. Voici les étapes clés, de l'idée au déblocage des fonds.</w:t>
      </w:r>
    </w:p>
    <w:p>
      <w:pPr>
        <w:pStyle w:val="Heading3"/>
      </w:pPr>
      <w:r>
        <w:rPr>
          <w:rFonts w:ascii="Calibri" w:cs="Calibri" w:eastAsia="Calibri" w:hAnsi="Calibri"/>
          <w:b/>
          <w:bCs/>
          <w:color w:val="437A22"/>
          <w:sz w:val="22"/>
          <w:szCs w:val="22"/>
        </w:rPr>
        <w:t xml:space="preserve">10.1 Les grandes étapes</w:t>
      </w:r>
    </w:p>
    <w:p>
      <w:pPr>
        <w:pStyle w:val="ListParagraph"/>
        <w:numPr>
          <w:ilvl w:val="0"/>
          <w:numId w:val="3"/>
        </w:numPr>
        <w:spacing w:after="90" w:line="272"/>
      </w:pPr>
      <w:r>
        <w:rPr>
          <w:rFonts w:ascii="Calibri" w:cs="Calibri" w:eastAsia="Calibri" w:hAnsi="Calibri"/>
          <w:color w:val="28251D"/>
          <w:sz w:val="21"/>
          <w:szCs w:val="21"/>
        </w:rPr>
        <w:t xml:space="preserve">Définir et qualifier le projet : nature de l'activité, localisation, statut du foncier, montant d'investissement (qui détermine la catégorie A/B/C).</w:t>
      </w:r>
    </w:p>
    <w:p>
      <w:pPr>
        <w:pStyle w:val="ListParagraph"/>
        <w:numPr>
          <w:ilvl w:val="0"/>
          <w:numId w:val="3"/>
        </w:numPr>
        <w:spacing w:after="90" w:line="272"/>
      </w:pPr>
      <w:r>
        <w:rPr>
          <w:rFonts w:ascii="Calibri" w:cs="Calibri" w:eastAsia="Calibri" w:hAnsi="Calibri"/>
          <w:color w:val="28251D"/>
          <w:sz w:val="21"/>
          <w:szCs w:val="21"/>
        </w:rPr>
        <w:t xml:space="preserve">Réaliser l'étude technico-économique (business plan) : gratuite pour la catégorie A, plafonnée à 5 000 DT pour B et C ; elle peut être assurée par les services du CRDA ou de l'APIA.</w:t>
      </w:r>
    </w:p>
    <w:p>
      <w:pPr>
        <w:pStyle w:val="ListParagraph"/>
        <w:numPr>
          <w:ilvl w:val="0"/>
          <w:numId w:val="3"/>
        </w:numPr>
        <w:spacing w:after="90" w:line="272"/>
      </w:pPr>
      <w:r>
        <w:rPr>
          <w:rFonts w:ascii="Calibri" w:cs="Calibri" w:eastAsia="Calibri" w:hAnsi="Calibri"/>
          <w:color w:val="28251D"/>
          <w:sz w:val="21"/>
          <w:szCs w:val="21"/>
        </w:rPr>
        <w:t xml:space="preserve">Déposer la déclaration d'investissement auprès de l'APIA (siège ou gouvernorat) pour obtenir l'Attestation de Dépôt de Déclaration d'Investissement (ADI / agrément APIA).</w:t>
      </w:r>
    </w:p>
    <w:p>
      <w:pPr>
        <w:pStyle w:val="ListParagraph"/>
        <w:numPr>
          <w:ilvl w:val="0"/>
          <w:numId w:val="3"/>
        </w:numPr>
        <w:spacing w:after="90" w:line="272"/>
      </w:pPr>
      <w:r>
        <w:rPr>
          <w:rFonts w:ascii="Calibri" w:cs="Calibri" w:eastAsia="Calibri" w:hAnsi="Calibri"/>
          <w:color w:val="28251D"/>
          <w:sz w:val="21"/>
          <w:szCs w:val="21"/>
        </w:rPr>
        <w:t xml:space="preserve">Constituer juridiquement l'entreprise (entreprise individuelle, SUARL, société) via le Guichet Unique de l'API si nécessaire.</w:t>
      </w:r>
    </w:p>
    <w:p>
      <w:pPr>
        <w:pStyle w:val="ListParagraph"/>
        <w:numPr>
          <w:ilvl w:val="0"/>
          <w:numId w:val="3"/>
        </w:numPr>
        <w:spacing w:after="90" w:line="272"/>
      </w:pPr>
      <w:r>
        <w:rPr>
          <w:rFonts w:ascii="Calibri" w:cs="Calibri" w:eastAsia="Calibri" w:hAnsi="Calibri"/>
          <w:color w:val="28251D"/>
          <w:sz w:val="21"/>
          <w:szCs w:val="21"/>
        </w:rPr>
        <w:t xml:space="preserve">Monter le dossier de financement bancaire (BNA, BTS, BFPME) ou de leasing, accompagné du business plan et de l'ADI.</w:t>
      </w:r>
    </w:p>
    <w:p>
      <w:pPr>
        <w:pStyle w:val="ListParagraph"/>
        <w:numPr>
          <w:ilvl w:val="0"/>
          <w:numId w:val="3"/>
        </w:numPr>
        <w:spacing w:after="90" w:line="272"/>
      </w:pPr>
      <w:r>
        <w:rPr>
          <w:rFonts w:ascii="Calibri" w:cs="Calibri" w:eastAsia="Calibri" w:hAnsi="Calibri"/>
          <w:color w:val="28251D"/>
          <w:sz w:val="21"/>
          <w:szCs w:val="21"/>
        </w:rPr>
        <w:t xml:space="preserve">Solliciter, le cas échéant, la garantie SOTUGAR et/ou une participation en capital (FTI, SICAR).</w:t>
      </w:r>
    </w:p>
    <w:p>
      <w:pPr>
        <w:pStyle w:val="ListParagraph"/>
        <w:numPr>
          <w:ilvl w:val="0"/>
          <w:numId w:val="3"/>
        </w:numPr>
        <w:spacing w:after="90" w:line="272"/>
      </w:pPr>
      <w:r>
        <w:rPr>
          <w:rFonts w:ascii="Calibri" w:cs="Calibri" w:eastAsia="Calibri" w:hAnsi="Calibri"/>
          <w:color w:val="28251D"/>
          <w:sz w:val="21"/>
          <w:szCs w:val="21"/>
        </w:rPr>
        <w:t xml:space="preserve">Réaliser l'investissement, puis demander le déblocage des subventions APIA sur présentation des factures acquittées et après visite de contrôle sur le terrain.</w:t>
      </w:r>
    </w:p>
    <w:p>
      <w:pPr>
        <w:pStyle w:val="Heading3"/>
      </w:pPr>
      <w:r>
        <w:rPr>
          <w:rFonts w:ascii="Calibri" w:cs="Calibri" w:eastAsia="Calibri" w:hAnsi="Calibri"/>
          <w:b/>
          <w:bCs/>
          <w:color w:val="437A22"/>
          <w:sz w:val="22"/>
          <w:szCs w:val="22"/>
        </w:rPr>
        <w:t xml:space="preserve">10.2 Pièces du dossier APIA (secteur agricole)</w:t>
      </w:r>
    </w:p>
    <w:p>
      <w:pPr>
        <w:pStyle w:val="ListParagraph"/>
        <w:numPr>
          <w:ilvl w:val="0"/>
          <w:numId w:val="2"/>
        </w:numPr>
        <w:spacing w:after="80" w:line="270"/>
      </w:pPr>
      <w:r>
        <w:rPr>
          <w:rFonts w:ascii="Calibri" w:cs="Calibri" w:eastAsia="Calibri" w:hAnsi="Calibri"/>
          <w:color w:val="28251D"/>
          <w:sz w:val="21"/>
          <w:szCs w:val="21"/>
        </w:rPr>
        <w:t xml:space="preserve">Attestation de dépôt de déclaration d'investissement (ADI) remplie et signée.</w:t>
      </w:r>
    </w:p>
    <w:p>
      <w:pPr>
        <w:pStyle w:val="ListParagraph"/>
        <w:numPr>
          <w:ilvl w:val="0"/>
          <w:numId w:val="2"/>
        </w:numPr>
        <w:spacing w:after="80" w:line="270"/>
      </w:pPr>
      <w:r>
        <w:rPr>
          <w:rFonts w:ascii="Calibri" w:cs="Calibri" w:eastAsia="Calibri" w:hAnsi="Calibri"/>
          <w:color w:val="28251D"/>
          <w:sz w:val="21"/>
          <w:szCs w:val="21"/>
        </w:rPr>
        <w:t xml:space="preserve">Liste des équipements à acquérir (intitulé, quantité, coût).</w:t>
      </w:r>
    </w:p>
    <w:p>
      <w:pPr>
        <w:pStyle w:val="ListParagraph"/>
        <w:numPr>
          <w:ilvl w:val="0"/>
          <w:numId w:val="2"/>
        </w:numPr>
        <w:spacing w:after="80" w:line="270"/>
      </w:pPr>
      <w:r>
        <w:rPr>
          <w:rFonts w:ascii="Calibri" w:cs="Calibri" w:eastAsia="Calibri" w:hAnsi="Calibri"/>
          <w:color w:val="28251D"/>
          <w:sz w:val="21"/>
          <w:szCs w:val="21"/>
        </w:rPr>
        <w:t xml:space="preserve">Devis estimatifs ou factures pro forma des équipements et matériels.</w:t>
      </w:r>
    </w:p>
    <w:p>
      <w:pPr>
        <w:pStyle w:val="ListParagraph"/>
        <w:numPr>
          <w:ilvl w:val="0"/>
          <w:numId w:val="2"/>
        </w:numPr>
        <w:spacing w:after="80" w:line="270"/>
      </w:pPr>
      <w:r>
        <w:rPr>
          <w:rFonts w:ascii="Calibri" w:cs="Calibri" w:eastAsia="Calibri" w:hAnsi="Calibri"/>
          <w:color w:val="28251D"/>
          <w:sz w:val="21"/>
          <w:szCs w:val="21"/>
        </w:rPr>
        <w:t xml:space="preserve">Certificat justifiant la propriété ou la gérance du terrain (titre de propriété, contrat d'achat, ou bail enregistré d'au moins 9 ans).</w:t>
      </w:r>
    </w:p>
    <w:p>
      <w:pPr>
        <w:pStyle w:val="ListParagraph"/>
        <w:numPr>
          <w:ilvl w:val="0"/>
          <w:numId w:val="2"/>
        </w:numPr>
        <w:spacing w:after="80" w:line="270"/>
      </w:pPr>
      <w:r>
        <w:rPr>
          <w:rFonts w:ascii="Calibri" w:cs="Calibri" w:eastAsia="Calibri" w:hAnsi="Calibri"/>
          <w:color w:val="28251D"/>
          <w:sz w:val="21"/>
          <w:szCs w:val="21"/>
        </w:rPr>
        <w:t xml:space="preserve">Copie de la CIN (personnes physiques) ou registre de commerce et statuts (personnes morales).</w:t>
      </w:r>
    </w:p>
    <w:p>
      <w:pPr>
        <w:pStyle w:val="ListParagraph"/>
        <w:numPr>
          <w:ilvl w:val="0"/>
          <w:numId w:val="2"/>
        </w:numPr>
        <w:spacing w:after="80" w:line="270"/>
      </w:pPr>
      <w:r>
        <w:rPr>
          <w:rFonts w:ascii="Calibri" w:cs="Calibri" w:eastAsia="Calibri" w:hAnsi="Calibri"/>
          <w:color w:val="28251D"/>
          <w:sz w:val="21"/>
          <w:szCs w:val="21"/>
        </w:rPr>
        <w:t xml:space="preserve">Pour les sociétés en cours de constitution : projet de statuts, puis statuts enregistrés, déclaration d'existence et patente une fois la société créée.</w:t>
      </w:r>
    </w:p>
    <w:p>
      <w:pPr>
        <w:spacing w:after="120" w:line="276"/>
      </w:pPr>
      <w:r>
        <w:rPr>
          <w:rFonts w:ascii="Calibri" w:cs="Calibri" w:eastAsia="Calibri" w:hAnsi="Calibri"/>
          <w:i/>
          <w:iCs/>
          <w:color w:val="5F5E58"/>
          <w:sz w:val="18"/>
          <w:szCs w:val="18"/>
        </w:rPr>
        <w:t xml:space="preserve">Source : APIA, liste des pièces du dossier d'avantages au titre du développement agricole.</w:t>
      </w:r>
      <w:r>
        <w:rPr>
          <w:rStyle w:val="FootnoteReference"/>
        </w:rPr>
        <w:footnoteReference w:id="14"/>
      </w:r>
    </w:p>
    <w:p>
      <w:pPr>
        <w:pStyle w:val="Heading3"/>
      </w:pPr>
      <w:r>
        <w:rPr>
          <w:rFonts w:ascii="Calibri" w:cs="Calibri" w:eastAsia="Calibri" w:hAnsi="Calibri"/>
          <w:b/>
          <w:bCs/>
          <w:color w:val="437A22"/>
          <w:sz w:val="22"/>
          <w:szCs w:val="22"/>
        </w:rPr>
        <w:t xml:space="preserve">10.3 Déblocage des subventions</w:t>
      </w:r>
    </w:p>
    <w:p>
      <w:pPr>
        <w:spacing w:after="120" w:line="276"/>
      </w:pPr>
      <w:r>
        <w:rPr>
          <w:rFonts w:ascii="Calibri" w:cs="Calibri" w:eastAsia="Calibri" w:hAnsi="Calibri"/>
          <w:color w:val="28251D"/>
          <w:sz w:val="21"/>
          <w:szCs w:val="21"/>
        </w:rPr>
        <w:t xml:space="preserve">Pour obtenir le déblocage des subventions octroyées, le promoteur dépose à la direction régionale de l'APIA : les factures acquittées du matériel et du cheptel, les cartes grises des engins, la convention d'étude technico-économique, le procès-verbal de réception des équipements d'économie d'eau et, le cas échéant, les états d'avancement des travaux. Une visite de terrain conjointe APIA/CRDA valide la réalisation, puis la BNA effectue le déblocage.</w:t>
      </w:r>
    </w:p>
    <w:p>
      <w:pPr>
        <w:spacing w:after="120" w:line="276"/>
      </w:pPr>
      <w:r>
        <w:rPr>
          <w:rFonts w:ascii="Calibri" w:cs="Calibri" w:eastAsia="Calibri" w:hAnsi="Calibri"/>
          <w:i/>
          <w:iCs/>
          <w:color w:val="5F5E58"/>
          <w:sz w:val="18"/>
          <w:szCs w:val="18"/>
        </w:rPr>
        <w:t xml:space="preserve">Source : APIA, procédure de déblocage des subventions.</w:t>
      </w:r>
      <w:r>
        <w:rPr>
          <w:rStyle w:val="FootnoteReference"/>
        </w:rPr>
        <w:footnoteReference w:id="2"/>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5E20" w:sz="4"/>
              <w:left w:val="single" w:color="1B5E20" w:sz="18"/>
              <w:bottom w:val="single" w:color="1B5E20" w:sz="4"/>
              <w:right w:val="single" w:color="1B5E20" w:sz="4"/>
            </w:tcBorders>
            <w:shd w:fill="E8F0E3" w:color="auto" w:val="clear"/>
            <w:tcMar>
              <w:top w:type="dxa" w:w="120"/>
              <w:left w:type="dxa" w:w="200"/>
              <w:bottom w:type="dxa" w:w="120"/>
              <w:right w:type="dxa" w:w="160"/>
            </w:tcMar>
          </w:tcPr>
          <w:p>
            <w:pPr>
              <w:spacing w:after="60"/>
            </w:pPr>
            <w:r>
              <w:rPr>
                <w:rFonts w:ascii="Calibri" w:cs="Calibri" w:eastAsia="Calibri" w:hAnsi="Calibri"/>
                <w:b/>
                <w:bCs/>
                <w:color w:val="1B5E20"/>
                <w:sz w:val="21"/>
                <w:szCs w:val="21"/>
              </w:rPr>
              <w:t xml:space="preserve">Conseils de l'expert-comptable</w:t>
            </w:r>
          </w:p>
          <w:p>
            <w:pPr>
              <w:spacing w:after="50" w:line="268"/>
            </w:pPr>
            <w:r>
              <w:rPr>
                <w:rFonts w:ascii="Calibri" w:cs="Calibri" w:eastAsia="Calibri" w:hAnsi="Calibri"/>
                <w:color w:val="28251D"/>
                <w:sz w:val="20"/>
                <w:szCs w:val="20"/>
              </w:rPr>
              <w:t xml:space="preserve">• Déposez la déclaration d'investissement AVANT d'engager les dépenses : les achats antérieurs à l'ADI peuvent ne pas être éligibles aux primes.</w:t>
            </w:r>
          </w:p>
          <w:p>
            <w:pPr>
              <w:spacing w:after="50" w:line="268"/>
            </w:pPr>
            <w:r>
              <w:rPr>
                <w:rFonts w:ascii="Calibri" w:cs="Calibri" w:eastAsia="Calibri" w:hAnsi="Calibri"/>
                <w:color w:val="28251D"/>
                <w:sz w:val="20"/>
                <w:szCs w:val="20"/>
              </w:rPr>
              <w:t xml:space="preserve">• Soignez le business plan : c'est la pièce qui conditionne à la fois l'octroi du crédit et l'évaluation des primes.</w:t>
            </w:r>
          </w:p>
          <w:p>
            <w:pPr>
              <w:spacing w:after="50" w:line="268"/>
            </w:pPr>
            <w:r>
              <w:rPr>
                <w:rFonts w:ascii="Calibri" w:cs="Calibri" w:eastAsia="Calibri" w:hAnsi="Calibri"/>
                <w:color w:val="28251D"/>
                <w:sz w:val="20"/>
                <w:szCs w:val="20"/>
              </w:rPr>
              <w:t xml:space="preserve">• Tenez une comptabilité conforme dès le départ : c'est une condition d'éligibilité aux déductions fiscales.</w:t>
            </w:r>
          </w:p>
          <w:p>
            <w:pPr>
              <w:spacing w:after="50" w:line="268"/>
            </w:pPr>
            <w:r>
              <w:rPr>
                <w:rFonts w:ascii="Calibri" w:cs="Calibri" w:eastAsia="Calibri" w:hAnsi="Calibri"/>
                <w:color w:val="28251D"/>
                <w:sz w:val="20"/>
                <w:szCs w:val="20"/>
              </w:rPr>
              <w:t xml:space="preserve">• Combinez les dispositifs : prime APIA + crédit BTS/BNA + leasing matériel + avantage fiscal maximisent l'effet de levier.</w:t>
            </w:r>
          </w:p>
          <w:p>
            <w:pPr>
              <w:spacing w:after="50" w:line="268"/>
            </w:pPr>
            <w:r>
              <w:rPr>
                <w:rFonts w:ascii="Calibri" w:cs="Calibri" w:eastAsia="Calibri" w:hAnsi="Calibri"/>
                <w:color w:val="28251D"/>
                <w:sz w:val="20"/>
                <w:szCs w:val="20"/>
              </w:rPr>
              <w:t xml:space="preserve">• Anticipez la trésorerie : les primes sont débloquées APRÈS réalisation, prévoyez un crédit-relais ou un fonds de roulement.</w:t>
            </w:r>
          </w:p>
        </w:tc>
      </w:tr>
    </w:tbl>
    <w:p>
      <w:pPr>
        <w:pStyle w:val="Heading1"/>
      </w:pPr>
      <w:r>
        <w:rPr>
          <w:rFonts w:ascii="Calibri" w:cs="Calibri" w:eastAsia="Calibri" w:hAnsi="Calibri"/>
          <w:b/>
          <w:bCs/>
          <w:color w:val="1B5E20"/>
          <w:sz w:val="32"/>
          <w:szCs w:val="32"/>
        </w:rPr>
        <w:t xml:space="preserve">11. Études de cas illustratives</w:t>
      </w:r>
    </w:p>
    <w:p>
      <w:pPr>
        <w:spacing w:after="120" w:line="276"/>
      </w:pPr>
      <w:r>
        <w:rPr>
          <w:rFonts w:ascii="Calibri" w:cs="Calibri" w:eastAsia="Calibri" w:hAnsi="Calibri"/>
          <w:color w:val="28251D"/>
          <w:sz w:val="21"/>
          <w:szCs w:val="21"/>
        </w:rPr>
        <w:t xml:space="preserve">Les exemples ci-dessous, à visée pédagogique, illustrent comment combiner les dispositifs présentés. Les chiffres sont indicatifs et fondés sur les barèmes officiels ; chaque cas réel doit être validé avec l'APIA et la banque.</w:t>
      </w:r>
    </w:p>
    <w:p>
      <w:pPr>
        <w:pStyle w:val="Heading3"/>
      </w:pPr>
      <w:r>
        <w:rPr>
          <w:rFonts w:ascii="Calibri" w:cs="Calibri" w:eastAsia="Calibri" w:hAnsi="Calibri"/>
          <w:b/>
          <w:bCs/>
          <w:color w:val="437A22"/>
          <w:sz w:val="22"/>
          <w:szCs w:val="22"/>
        </w:rPr>
        <w:t xml:space="preserve">Cas 1 — Jeune diplômé : maraîchage irrigué (catégorie B)</w:t>
      </w:r>
    </w:p>
    <w:p>
      <w:pPr>
        <w:spacing w:after="120" w:line="276"/>
      </w:pPr>
      <w:r>
        <w:rPr>
          <w:rFonts w:ascii="Calibri" w:cs="Calibri" w:eastAsia="Calibri" w:hAnsi="Calibri"/>
          <w:color w:val="28251D"/>
          <w:sz w:val="21"/>
          <w:szCs w:val="21"/>
        </w:rPr>
        <w:t xml:space="preserve">Un ingénieur agronome de 29 ans crée une exploitation de maraîchage sous irrigation localisée. Investissement total : 180 000 DT.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60"/>
        <w:gridCol w:w="2800"/>
        <w:gridCol w:w="2800"/>
      </w:tblGrid>
      <w:tr>
        <w:trPr>
          <w:tblHeader/>
        </w:trPr>
        <w:tc>
          <w:tcPr>
            <w:tcW w:type="dxa" w:w="37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Source de financement</w:t>
            </w:r>
          </w:p>
        </w:tc>
        <w:tc>
          <w:tcPr>
            <w:tcW w:type="dxa" w:w="28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Montant indicatif</w:t>
            </w:r>
          </w:p>
        </w:tc>
        <w:tc>
          <w:tcPr>
            <w:tcW w:type="dxa" w:w="28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Base</w:t>
            </w:r>
          </w:p>
        </w:tc>
      </w:tr>
      <w:tr>
        <w:tc>
          <w:tcPr>
            <w:tcW w:type="dxa" w:w="37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Autofinancement (10 %)</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18 000 DT</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Catégorie B</w:t>
            </w:r>
          </w:p>
        </w:tc>
      </w:tr>
      <w:tr>
        <w:tc>
          <w:tcPr>
            <w:tcW w:type="dxa" w:w="37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Prime d'investissement APIA (20 %)</w:t>
            </w:r>
          </w:p>
        </w:tc>
        <w:tc>
          <w:tcPr>
            <w:tcW w:type="dxa" w:w="28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36 000 DT</w:t>
            </w:r>
          </w:p>
        </w:tc>
        <w:tc>
          <w:tcPr>
            <w:tcW w:type="dxa" w:w="28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Projet agricole cat. B</w:t>
            </w:r>
          </w:p>
        </w:tc>
      </w:tr>
      <w:tr>
        <w:tc>
          <w:tcPr>
            <w:tcW w:type="dxa" w:w="37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Prime irrigation économe en eau (50 %)</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sur l'équipement d'irrigation</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Prime spécifique B</w:t>
            </w:r>
          </w:p>
        </w:tc>
      </w:tr>
      <w:tr>
        <w:tc>
          <w:tcPr>
            <w:tcW w:type="dxa" w:w="37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Crédit BTS Agri-Invest</w:t>
            </w:r>
          </w:p>
        </w:tc>
        <w:tc>
          <w:tcPr>
            <w:tcW w:type="dxa" w:w="28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solde, jusqu'à 7 ans</w:t>
            </w:r>
          </w:p>
        </w:tc>
        <w:tc>
          <w:tcPr>
            <w:tcW w:type="dxa" w:w="28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Sans garantie réelle</w:t>
            </w:r>
          </w:p>
        </w:tc>
      </w:tr>
      <w:tr>
        <w:tc>
          <w:tcPr>
            <w:tcW w:type="dxa" w:w="37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Avantage fiscal</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Exonération IR/IS 10 ans</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Loi 2017-8</w:t>
            </w:r>
          </w:p>
        </w:tc>
      </w:tr>
    </w:tbl>
    <w:p>
      <w:pPr>
        <w:pStyle w:val="Heading3"/>
      </w:pPr>
      <w:r>
        <w:rPr>
          <w:rFonts w:ascii="Calibri" w:cs="Calibri" w:eastAsia="Calibri" w:hAnsi="Calibri"/>
          <w:b/>
          <w:bCs/>
          <w:color w:val="437A22"/>
          <w:sz w:val="22"/>
          <w:szCs w:val="22"/>
        </w:rPr>
        <w:t xml:space="preserve">Cas 2 — SMSA : matériel agricole partagé</w:t>
      </w:r>
    </w:p>
    <w:p>
      <w:pPr>
        <w:spacing w:after="120" w:line="276"/>
      </w:pPr>
      <w:r>
        <w:rPr>
          <w:rFonts w:ascii="Calibri" w:cs="Calibri" w:eastAsia="Calibri" w:hAnsi="Calibri"/>
          <w:color w:val="28251D"/>
          <w:sz w:val="21"/>
          <w:szCs w:val="21"/>
        </w:rPr>
        <w:t xml:space="preserve">Une Société Mutuelle de Services Agricoles regroupant 15 exploitants acquiert un parc de matériel (tracteur, moissonneuse) pour 250 000 DT.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60"/>
        <w:gridCol w:w="2500"/>
        <w:gridCol w:w="2500"/>
      </w:tblGrid>
      <w:tr>
        <w:trPr>
          <w:tblHeader/>
        </w:trPr>
        <w:tc>
          <w:tcPr>
            <w:tcW w:type="dxa" w:w="43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Source de financement</w:t>
            </w:r>
          </w:p>
        </w:tc>
        <w:tc>
          <w:tcPr>
            <w:tcW w:type="dxa" w:w="25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Montant indicatif</w:t>
            </w:r>
          </w:p>
        </w:tc>
        <w:tc>
          <w:tcPr>
            <w:tcW w:type="dxa" w:w="25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Base</w:t>
            </w:r>
          </w:p>
        </w:tc>
      </w:tr>
      <w:tr>
        <w:tc>
          <w:tcPr>
            <w:tcW w:type="dxa" w:w="4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Prime SMSA acquisition de matériel (40 %)</w:t>
            </w:r>
          </w:p>
        </w:tc>
        <w:tc>
          <w:tcPr>
            <w:tcW w:type="dxa" w:w="25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100 000 DT</w:t>
            </w:r>
          </w:p>
        </w:tc>
        <w:tc>
          <w:tcPr>
            <w:tcW w:type="dxa" w:w="25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Équipements SMSA</w:t>
            </w:r>
          </w:p>
        </w:tc>
      </w:tr>
      <w:tr>
        <w:tc>
          <w:tcPr>
            <w:tcW w:type="dxa" w:w="4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Prime matériel agricole (25 %)</w:t>
            </w:r>
          </w:p>
        </w:tc>
        <w:tc>
          <w:tcPr>
            <w:tcW w:type="dxa" w:w="25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cumulable selon barème</w:t>
            </w:r>
          </w:p>
        </w:tc>
        <w:tc>
          <w:tcPr>
            <w:tcW w:type="dxa" w:w="25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Tracteurs/matériel tracté</w:t>
            </w:r>
          </w:p>
        </w:tc>
      </w:tr>
      <w:tr>
        <w:tc>
          <w:tcPr>
            <w:tcW w:type="dxa" w:w="43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Crédit bancaire / leasing</w:t>
            </w:r>
          </w:p>
        </w:tc>
        <w:tc>
          <w:tcPr>
            <w:tcW w:type="dxa" w:w="25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solde</w:t>
            </w:r>
          </w:p>
        </w:tc>
        <w:tc>
          <w:tcPr>
            <w:tcW w:type="dxa" w:w="25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Leasing jusqu'à 100 %</w:t>
            </w:r>
          </w:p>
        </w:tc>
      </w:tr>
      <w:tr>
        <w:tc>
          <w:tcPr>
            <w:tcW w:type="dxa" w:w="43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Avantage : loyers de leasing déductibles</w:t>
            </w:r>
          </w:p>
        </w:tc>
        <w:tc>
          <w:tcPr>
            <w:tcW w:type="dxa" w:w="25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w:t>
            </w:r>
          </w:p>
        </w:tc>
        <w:tc>
          <w:tcPr>
            <w:tcW w:type="dxa" w:w="25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Fiscalité du crédit-bail</w:t>
            </w:r>
          </w:p>
        </w:tc>
      </w:tr>
    </w:tbl>
    <w:p>
      <w:pPr>
        <w:pStyle w:val="Heading3"/>
      </w:pPr>
      <w:r>
        <w:rPr>
          <w:rFonts w:ascii="Calibri" w:cs="Calibri" w:eastAsia="Calibri" w:hAnsi="Calibri"/>
          <w:b/>
          <w:bCs/>
          <w:color w:val="437A22"/>
          <w:sz w:val="22"/>
          <w:szCs w:val="22"/>
        </w:rPr>
        <w:t xml:space="preserve">Cas 3 — Startup agritech : plateforme de gestion d'irrigation</w:t>
      </w:r>
    </w:p>
    <w:p>
      <w:pPr>
        <w:spacing w:after="120" w:line="276"/>
      </w:pPr>
      <w:r>
        <w:rPr>
          <w:rFonts w:ascii="Calibri" w:cs="Calibri" w:eastAsia="Calibri" w:hAnsi="Calibri"/>
          <w:color w:val="28251D"/>
          <w:sz w:val="21"/>
          <w:szCs w:val="21"/>
        </w:rPr>
        <w:t xml:space="preserve">Deux jeunes fondateurs développent une solution IoT de pilotage d'irrigation. Société innovante éligible au Label Startup.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Levier mobilisé</w:t>
            </w:r>
          </w:p>
        </w:tc>
        <w:tc>
          <w:tcPr>
            <w:tcW w:type="dxa" w:w="61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Apport</w:t>
            </w:r>
          </w:p>
        </w:tc>
      </w:tr>
      <w:tr>
        <w:tc>
          <w:tcPr>
            <w:tcW w:type="dxa" w:w="32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Label Startup</w:t>
            </w:r>
          </w:p>
        </w:tc>
        <w:tc>
          <w:tcPr>
            <w:tcW w:type="dxa" w:w="61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Bourse fondateurs (1ère année), exonérations jusqu'à 8 ans</w:t>
            </w:r>
          </w:p>
        </w:tc>
      </w:tr>
      <w:tr>
        <w:tc>
          <w:tcPr>
            <w:tcW w:type="dxa" w:w="32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SICAR / FCPR</w:t>
            </w:r>
          </w:p>
        </w:tc>
        <w:tc>
          <w:tcPr>
            <w:tcW w:type="dxa" w:w="61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Renforcement des fonds propres</w:t>
            </w:r>
          </w:p>
        </w:tc>
      </w:tr>
      <w:tr>
        <w:tc>
          <w:tcPr>
            <w:tcW w:type="dxa" w:w="32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FG Startups (SOTUGAR)</w:t>
            </w:r>
          </w:p>
        </w:tc>
        <w:tc>
          <w:tcPr>
            <w:tcW w:type="dxa" w:w="61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Garantie des participations en capital</w:t>
            </w:r>
          </w:p>
        </w:tc>
      </w:tr>
      <w:tr>
        <w:tc>
          <w:tcPr>
            <w:tcW w:type="dxa" w:w="32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FTI</w:t>
            </w:r>
          </w:p>
        </w:tc>
        <w:tc>
          <w:tcPr>
            <w:tcW w:type="dxa" w:w="61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Participation au capital (jusqu'à 60 % si ≤ 2 M DT)</w:t>
            </w:r>
          </w:p>
        </w:tc>
      </w:tr>
    </w:tbl>
    <w:p>
      <w:pPr>
        <w:pStyle w:val="Heading3"/>
      </w:pPr>
      <w:r>
        <w:rPr>
          <w:rFonts w:ascii="Calibri" w:cs="Calibri" w:eastAsia="Calibri" w:hAnsi="Calibri"/>
          <w:b/>
          <w:bCs/>
          <w:color w:val="437A22"/>
          <w:sz w:val="22"/>
          <w:szCs w:val="22"/>
        </w:rPr>
        <w:t xml:space="preserve">Cas 4 — Acquisition de terre par un jeune agriculteur</w:t>
      </w:r>
    </w:p>
    <w:p>
      <w:pPr>
        <w:spacing w:after="120" w:line="276"/>
      </w:pPr>
      <w:r>
        <w:rPr>
          <w:rFonts w:ascii="Calibri" w:cs="Calibri" w:eastAsia="Calibri" w:hAnsi="Calibri"/>
          <w:color w:val="28251D"/>
          <w:sz w:val="21"/>
          <w:szCs w:val="21"/>
        </w:rPr>
        <w:t xml:space="preserve">Un technicien agricole de 35 ans, 6 ans d'expérience, souhaite acheter 8 hectares pour une oliveraie. Prix de la terre : 200 000 DT.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Source</w:t>
            </w:r>
          </w:p>
        </w:tc>
        <w:tc>
          <w:tcPr>
            <w:tcW w:type="dxa" w:w="61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Détail</w:t>
            </w:r>
          </w:p>
        </w:tc>
      </w:tr>
      <w:tr>
        <w:tc>
          <w:tcPr>
            <w:tcW w:type="dxa" w:w="32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Prêt foncier agricole (FTI)</w:t>
            </w:r>
          </w:p>
        </w:tc>
        <w:tc>
          <w:tcPr>
            <w:tcW w:type="dxa" w:w="61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Jusqu'à 250 000 DT, sur 25 ans, taux 5 %, grâce 5 ans</w:t>
            </w:r>
          </w:p>
        </w:tc>
      </w:tr>
      <w:tr>
        <w:tc>
          <w:tcPr>
            <w:tcW w:type="dxa" w:w="32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Avantage fiscal foncier</w:t>
            </w:r>
          </w:p>
        </w:tc>
        <w:tc>
          <w:tcPr>
            <w:tcW w:type="dxa" w:w="61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Enregistrement au droit fixe (20 DT/page)</w:t>
            </w:r>
          </w:p>
        </w:tc>
      </w:tr>
      <w:tr>
        <w:tc>
          <w:tcPr>
            <w:tcW w:type="dxa" w:w="32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Prime de plantation (50 %)</w:t>
            </w:r>
          </w:p>
        </w:tc>
        <w:tc>
          <w:tcPr>
            <w:tcW w:type="dxa" w:w="61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Plantations d'arbustes (cat. A/B)</w:t>
            </w:r>
          </w:p>
        </w:tc>
      </w:tr>
    </w:tbl>
    <w:p>
      <w:pPr>
        <w:pStyle w:val="Heading1"/>
      </w:pPr>
      <w:r>
        <w:rPr>
          <w:rFonts w:ascii="Calibri" w:cs="Calibri" w:eastAsia="Calibri" w:hAnsi="Calibri"/>
          <w:b/>
          <w:bCs/>
          <w:color w:val="1B5E20"/>
          <w:sz w:val="32"/>
          <w:szCs w:val="32"/>
        </w:rPr>
        <w:t xml:space="preserve">12. Annuaire des organismes</w:t>
      </w:r>
    </w:p>
    <w:p>
      <w:pPr>
        <w:spacing w:after="120" w:line="276"/>
      </w:pPr>
      <w:r>
        <w:rPr>
          <w:rFonts w:ascii="Calibri" w:cs="Calibri" w:eastAsia="Calibri" w:hAnsi="Calibri"/>
          <w:color w:val="28251D"/>
          <w:sz w:val="21"/>
          <w:szCs w:val="21"/>
        </w:rPr>
        <w:t xml:space="preserve">Coordonnées et rôles des principaux interlocuteurs. Vérifiez les contacts à jour sur les sites officiels avant toute démarche.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4660"/>
        <w:gridCol w:w="2800"/>
      </w:tblGrid>
      <w:tr>
        <w:trPr>
          <w:tblHeader/>
        </w:trPr>
        <w:tc>
          <w:tcPr>
            <w:tcW w:type="dxa" w:w="19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Organisme</w:t>
            </w:r>
          </w:p>
        </w:tc>
        <w:tc>
          <w:tcPr>
            <w:tcW w:type="dxa" w:w="466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Rôle</w:t>
            </w:r>
          </w:p>
        </w:tc>
        <w:tc>
          <w:tcPr>
            <w:tcW w:type="dxa" w:w="2800"/>
            <w:tcBorders>
              <w:top w:val="single" w:color="C8C6BF" w:sz="1"/>
              <w:left w:val="single" w:color="C8C6BF" w:sz="1"/>
              <w:bottom w:val="single" w:color="C8C6BF" w:sz="1"/>
              <w:right w:val="single" w:color="C8C6BF" w:sz="1"/>
            </w:tcBorders>
            <w:shd w:fill="1B5E20" w:color="auto" w:val="clear"/>
            <w:tcMar>
              <w:top w:type="dxa" w:w="70"/>
              <w:left w:type="dxa" w:w="110"/>
              <w:bottom w:type="dxa" w:w="70"/>
              <w:right w:type="dxa" w:w="110"/>
            </w:tcMar>
            <w:vAlign w:val="center"/>
          </w:tcPr>
          <w:p>
            <w:pPr>
              <w:spacing w:after="0" w:line="260"/>
              <w:jc w:val="left"/>
            </w:pPr>
            <w:r>
              <w:rPr>
                <w:rFonts w:ascii="Calibri" w:cs="Calibri" w:eastAsia="Calibri" w:hAnsi="Calibri"/>
                <w:b/>
                <w:bCs/>
                <w:color w:val="FFFFFF"/>
                <w:sz w:val="19"/>
                <w:szCs w:val="19"/>
              </w:rPr>
              <w:t xml:space="preserve">Site officiel</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APIA</w:t>
            </w:r>
          </w:p>
        </w:tc>
        <w:tc>
          <w:tcPr>
            <w:tcW w:type="dxa" w:w="46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Primes, subventions, déclaration d'investissement, étude technique</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apia.com.tn</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CRDA</w:t>
            </w:r>
          </w:p>
        </w:tc>
        <w:tc>
          <w:tcPr>
            <w:tcW w:type="dxa" w:w="46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Instruction des dossiers cat. A, appui technique régional</w:t>
            </w:r>
          </w:p>
        </w:tc>
        <w:tc>
          <w:tcPr>
            <w:tcW w:type="dxa" w:w="28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Relais régional du ministère de l'Agriculture</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BNA</w:t>
            </w:r>
          </w:p>
        </w:tc>
        <w:tc>
          <w:tcPr>
            <w:tcW w:type="dxa" w:w="46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Crédit de campagne et d'investissement, déblocage des primes</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bna.tn</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BTS Bank</w:t>
            </w:r>
          </w:p>
        </w:tc>
        <w:tc>
          <w:tcPr>
            <w:tcW w:type="dxa" w:w="46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Crédit Agri-Invest (petits projets, sans garantie réelle)</w:t>
            </w:r>
          </w:p>
        </w:tc>
        <w:tc>
          <w:tcPr>
            <w:tcW w:type="dxa" w:w="28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bts.com.tn</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BFPME</w:t>
            </w:r>
          </w:p>
        </w:tc>
        <w:tc>
          <w:tcPr>
            <w:tcW w:type="dxa" w:w="46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CMLT et prêts participatifs pour PME</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bfpme.com.tn</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SOTUGAR</w:t>
            </w:r>
          </w:p>
        </w:tc>
        <w:tc>
          <w:tcPr>
            <w:tcW w:type="dxa" w:w="46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Fonds de garantie (PME, startups)</w:t>
            </w:r>
          </w:p>
        </w:tc>
        <w:tc>
          <w:tcPr>
            <w:tcW w:type="dxa" w:w="28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sotugar.com.tn</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Enda Tamweel</w:t>
            </w:r>
          </w:p>
        </w:tc>
        <w:tc>
          <w:tcPr>
            <w:tcW w:type="dxa" w:w="46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Microfinance / Pack Agricole</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endatamweel.tn</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Portail Startup</w:t>
            </w:r>
          </w:p>
        </w:tc>
        <w:tc>
          <w:tcPr>
            <w:tcW w:type="dxa" w:w="46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Label Startup (agritech)</w:t>
            </w:r>
          </w:p>
        </w:tc>
        <w:tc>
          <w:tcPr>
            <w:tcW w:type="dxa" w:w="28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startup.gov.tn</w:t>
            </w:r>
          </w:p>
        </w:tc>
      </w:tr>
      <w:tr>
        <w:tc>
          <w:tcPr>
            <w:tcW w:type="dxa" w:w="19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TIA</w:t>
            </w:r>
          </w:p>
        </w:tc>
        <w:tc>
          <w:tcPr>
            <w:tcW w:type="dxa" w:w="466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Information sur les mécanismes de financement</w:t>
            </w:r>
          </w:p>
        </w:tc>
        <w:tc>
          <w:tcPr>
            <w:tcW w:type="dxa" w:w="2800"/>
            <w:tcBorders>
              <w:top w:val="single" w:color="C8C6BF" w:sz="1"/>
              <w:left w:val="single" w:color="C8C6BF" w:sz="1"/>
              <w:bottom w:val="single" w:color="C8C6BF" w:sz="1"/>
              <w:right w:val="single" w:color="C8C6BF" w:sz="1"/>
            </w:tcBorders>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tia.gov.tn</w:t>
            </w:r>
          </w:p>
        </w:tc>
      </w:tr>
      <w:tr>
        <w:tc>
          <w:tcPr>
            <w:tcW w:type="dxa" w:w="19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FIDA</w:t>
            </w:r>
          </w:p>
        </w:tc>
        <w:tc>
          <w:tcPr>
            <w:tcW w:type="dxa" w:w="466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Programmes de développement rural</w:t>
            </w:r>
          </w:p>
        </w:tc>
        <w:tc>
          <w:tcPr>
            <w:tcW w:type="dxa" w:w="2800"/>
            <w:tcBorders>
              <w:top w:val="single" w:color="C8C6BF" w:sz="1"/>
              <w:left w:val="single" w:color="C8C6BF" w:sz="1"/>
              <w:bottom w:val="single" w:color="C8C6BF" w:sz="1"/>
              <w:right w:val="single" w:color="C8C6BF" w:sz="1"/>
            </w:tcBorders>
            <w:shd w:fill="F4F6F1" w:color="auto" w:val="clear"/>
            <w:tcMar>
              <w:top w:type="dxa" w:w="70"/>
              <w:left w:type="dxa" w:w="110"/>
              <w:bottom w:type="dxa" w:w="70"/>
              <w:right w:type="dxa" w:w="110"/>
            </w:tcMar>
            <w:vAlign w:val="center"/>
          </w:tcPr>
          <w:p>
            <w:pPr>
              <w:spacing w:after="0" w:line="260"/>
            </w:pPr>
            <w:r>
              <w:rPr>
                <w:rFonts w:ascii="Calibri" w:cs="Calibri" w:eastAsia="Calibri" w:hAnsi="Calibri"/>
                <w:color w:val="28251D"/>
                <w:sz w:val="19"/>
                <w:szCs w:val="19"/>
              </w:rPr>
              <w:t xml:space="preserve">ifad.org</w:t>
            </w:r>
          </w:p>
        </w:tc>
      </w:tr>
    </w:tbl>
    <w:p>
      <w:pPr>
        <w:pStyle w:val="Heading1"/>
      </w:pPr>
      <w:r>
        <w:rPr>
          <w:rFonts w:ascii="Calibri" w:cs="Calibri" w:eastAsia="Calibri" w:hAnsi="Calibri"/>
          <w:b/>
          <w:bCs/>
          <w:color w:val="1B5E20"/>
          <w:sz w:val="32"/>
          <w:szCs w:val="32"/>
        </w:rPr>
        <w:t xml:space="preserve">Sources et références</w:t>
      </w:r>
    </w:p>
    <w:p>
      <w:pPr>
        <w:spacing w:after="120" w:line="276"/>
      </w:pPr>
      <w:r>
        <w:rPr>
          <w:rFonts w:ascii="Calibri" w:cs="Calibri" w:eastAsia="Calibri" w:hAnsi="Calibri"/>
          <w:color w:val="28251D"/>
          <w:sz w:val="21"/>
          <w:szCs w:val="21"/>
        </w:rPr>
        <w:t xml:space="preserve">Ce livre blanc s'appuie sur des sources officielles. Les références complètes sont fournies en notes de bas de page tout au long du document. Principales sources :</w:t>
      </w:r>
    </w:p>
    <w:p>
      <w:pPr>
        <w:pStyle w:val="ListParagraph"/>
        <w:numPr>
          <w:ilvl w:val="0"/>
          <w:numId w:val="2"/>
        </w:numPr>
        <w:spacing w:after="80" w:line="270"/>
      </w:pPr>
      <w:r>
        <w:rPr>
          <w:rFonts w:ascii="Calibri" w:cs="Calibri" w:eastAsia="Calibri" w:hAnsi="Calibri"/>
          <w:color w:val="28251D"/>
          <w:sz w:val="21"/>
          <w:szCs w:val="21"/>
        </w:rPr>
        <w:t xml:space="preserve">APIA — Incitations financières et fiscales, subventions, pièces du dossier (apia.com.tn).</w:t>
      </w:r>
    </w:p>
    <w:p>
      <w:pPr>
        <w:pStyle w:val="ListParagraph"/>
        <w:numPr>
          <w:ilvl w:val="0"/>
          <w:numId w:val="2"/>
        </w:numPr>
        <w:spacing w:after="80" w:line="270"/>
      </w:pPr>
      <w:r>
        <w:rPr>
          <w:rFonts w:ascii="Calibri" w:cs="Calibri" w:eastAsia="Calibri" w:hAnsi="Calibri"/>
          <w:color w:val="28251D"/>
          <w:sz w:val="21"/>
          <w:szCs w:val="21"/>
        </w:rPr>
        <w:t xml:space="preserve">BTS Bank — Crédit Agri-Invest (bts.com.tn).</w:t>
      </w:r>
    </w:p>
    <w:p>
      <w:pPr>
        <w:pStyle w:val="ListParagraph"/>
        <w:numPr>
          <w:ilvl w:val="0"/>
          <w:numId w:val="2"/>
        </w:numPr>
        <w:spacing w:after="80" w:line="270"/>
      </w:pPr>
      <w:r>
        <w:rPr>
          <w:rFonts w:ascii="Calibri" w:cs="Calibri" w:eastAsia="Calibri" w:hAnsi="Calibri"/>
          <w:color w:val="28251D"/>
          <w:sz w:val="21"/>
          <w:szCs w:val="21"/>
        </w:rPr>
        <w:t xml:space="preserve">TIA — Principaux mécanismes de financement, guide officiel (guide.tia.gov.tn).</w:t>
      </w:r>
    </w:p>
    <w:p>
      <w:pPr>
        <w:pStyle w:val="ListParagraph"/>
        <w:numPr>
          <w:ilvl w:val="0"/>
          <w:numId w:val="2"/>
        </w:numPr>
        <w:spacing w:after="80" w:line="270"/>
      </w:pPr>
      <w:r>
        <w:rPr>
          <w:rFonts w:ascii="Calibri" w:cs="Calibri" w:eastAsia="Calibri" w:hAnsi="Calibri"/>
          <w:color w:val="28251D"/>
          <w:sz w:val="21"/>
          <w:szCs w:val="21"/>
        </w:rPr>
        <w:t xml:space="preserve">Ministère des Finances — Loi n° 2017-8 du 14 février 2017 (finances.gov.tn).</w:t>
      </w:r>
    </w:p>
    <w:p>
      <w:pPr>
        <w:pStyle w:val="ListParagraph"/>
        <w:numPr>
          <w:ilvl w:val="0"/>
          <w:numId w:val="2"/>
        </w:numPr>
        <w:spacing w:after="80" w:line="270"/>
      </w:pPr>
      <w:r>
        <w:rPr>
          <w:rFonts w:ascii="Calibri" w:cs="Calibri" w:eastAsia="Calibri" w:hAnsi="Calibri"/>
          <w:color w:val="28251D"/>
          <w:sz w:val="21"/>
          <w:szCs w:val="21"/>
        </w:rPr>
        <w:t xml:space="preserve">Loi de l'investissement 2017 (crédits fonciers, primes, régimes d'incitation).</w:t>
      </w:r>
    </w:p>
    <w:p>
      <w:pPr>
        <w:pStyle w:val="ListParagraph"/>
        <w:numPr>
          <w:ilvl w:val="0"/>
          <w:numId w:val="2"/>
        </w:numPr>
        <w:spacing w:after="80" w:line="270"/>
      </w:pPr>
      <w:r>
        <w:rPr>
          <w:rFonts w:ascii="Calibri" w:cs="Calibri" w:eastAsia="Calibri" w:hAnsi="Calibri"/>
          <w:color w:val="28251D"/>
          <w:sz w:val="21"/>
          <w:szCs w:val="21"/>
        </w:rPr>
        <w:t xml:space="preserve">SOTUGAR — Fonds de garantie (sotugar.com.tn) ; Portail Startup Act (startup.gov.tn).</w:t>
      </w:r>
    </w:p>
    <w:p>
      <w:pPr>
        <w:pStyle w:val="ListParagraph"/>
        <w:numPr>
          <w:ilvl w:val="0"/>
          <w:numId w:val="2"/>
        </w:numPr>
        <w:spacing w:after="80" w:line="270"/>
      </w:pPr>
      <w:r>
        <w:rPr>
          <w:rFonts w:ascii="Calibri" w:cs="Calibri" w:eastAsia="Calibri" w:hAnsi="Calibri"/>
          <w:color w:val="28251D"/>
          <w:sz w:val="21"/>
          <w:szCs w:val="21"/>
        </w:rPr>
        <w:t xml:space="preserve">Enda Tamweel — Pack Agricole (endatamweel.tn) ; sociétés de leasing.</w:t>
      </w:r>
    </w:p>
    <w:p>
      <w:pPr>
        <w:pStyle w:val="ListParagraph"/>
        <w:numPr>
          <w:ilvl w:val="0"/>
          <w:numId w:val="2"/>
        </w:numPr>
        <w:spacing w:after="80" w:line="270"/>
      </w:pPr>
      <w:r>
        <w:rPr>
          <w:rFonts w:ascii="Calibri" w:cs="Calibri" w:eastAsia="Calibri" w:hAnsi="Calibri"/>
          <w:color w:val="28251D"/>
          <w:sz w:val="21"/>
          <w:szCs w:val="21"/>
        </w:rPr>
        <w:t xml:space="preserve">FIDA et Banque mondiale — programmes de coopération avec la Tunisie.</w:t>
      </w:r>
    </w:p>
    <w:p>
      <w:pPr>
        <w:spacing w:after="120"/>
      </w:pPr>
    </w:p>
    <w:p>
      <w:pPr>
        <w:spacing w:after="120" w:line="276"/>
      </w:pPr>
      <w:r>
        <w:rPr>
          <w:rFonts w:ascii="Calibri" w:cs="Calibri" w:eastAsia="Calibri" w:hAnsi="Calibri"/>
          <w:i/>
          <w:iCs/>
          <w:color w:val="5F5E58"/>
          <w:sz w:val="19"/>
          <w:szCs w:val="19"/>
        </w:rPr>
        <w:t xml:space="preserve">Document préparé à titre d'orientation. Il ne se substitue pas à un conseil personnalisé. Vérifiez les barèmes et conditions en vigueur auprès des organismes compétents avant tout engagement.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C6BF" w:sz="4"/>
      </w:pBdr>
      <w:jc w:val="center"/>
    </w:pPr>
    <w:r>
      <w:rPr>
        <w:rFonts w:ascii="Calibri" w:cs="Calibri" w:eastAsia="Calibri" w:hAnsi="Calibri"/>
        <w:color w:val="5F5E58"/>
        <w:sz w:val="16"/>
        <w:szCs w:val="16"/>
      </w:rPr>
      <w:t xml:space="preserve">Livre blanc · Édition 2026   —   Page </w:t>
    </w:r>
    <w:r>
      <w:rPr>
        <w:rFonts w:ascii="Calibri" w:cs="Calibri" w:eastAsia="Calibri" w:hAnsi="Calibri"/>
        <w:color w:val="5F5E58"/>
        <w:sz w:val="16"/>
        <w:szCs w:val="16"/>
      </w:rPr>
      <w:fldChar w:fldCharType="begin"/>
      <w:instrText xml:space="preserve">PAGE</w:instrText>
      <w:fldChar w:fldCharType="separate"/>
      <w:fldChar w:fldCharType="end"/>
    </w:r>
    <w:r>
      <w:rPr>
        <w:rFonts w:ascii="Calibri" w:cs="Calibri" w:eastAsia="Calibri" w:hAnsi="Calibri"/>
        <w:color w:val="5F5E58"/>
        <w:sz w:val="16"/>
        <w:szCs w:val="16"/>
      </w:rPr>
      <w:t xml:space="preserve"> / </w:t>
    </w:r>
    <w:r>
      <w:rPr>
        <w:rFonts w:ascii="Calibri" w:cs="Calibri" w:eastAsia="Calibri" w:hAnsi="Calibri"/>
        <w:color w:val="5F5E5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Calibri" w:cs="Calibri" w:eastAsia="Calibri" w:hAnsi="Calibri"/>
          <w:sz w:val="18"/>
          <w:szCs w:val="18"/>
        </w:rPr>
        <w:t xml:space="preserve">APIA, Incitations financières (subventions et primes à l'investissement agricole) — </w:t>
      </w:r>
      <w:hyperlink w:history="1" r:id="rId0akq10zp9pwlc9omhig2a">
        <w:r>
          <w:rPr>
            <w:rStyle w:val="Hyperlink"/>
            <w:sz w:val="18"/>
            <w:szCs w:val="18"/>
          </w:rPr>
          <w:t xml:space="preserve">https://www.apia.com.tn/incitations-financieres-2.html</w:t>
        </w:r>
      </w:hyperlink>
    </w:p>
  </w:footnote>
  <w:footnote w:id="2">
    <w:p>
      <w:r>
        <w:rPr>
          <w:rStyle w:val="FootnoteReference"/>
        </w:rPr>
        <w:footnoteRef/>
      </w:r>
      <w:r>
        <w:rPr>
          <w:rFonts w:ascii="Calibri" w:cs="Calibri" w:eastAsia="Calibri" w:hAnsi="Calibri"/>
          <w:sz w:val="18"/>
          <w:szCs w:val="18"/>
        </w:rPr>
        <w:t xml:space="preserve">APIA, Subvention financière (catégories A/B/C et primes) — </w:t>
      </w:r>
      <w:hyperlink w:history="1" r:id="rIdtvhw9uplaui32-9cqnt3c">
        <w:r>
          <w:rPr>
            <w:rStyle w:val="Hyperlink"/>
            <w:sz w:val="18"/>
            <w:szCs w:val="18"/>
          </w:rPr>
          <w:t xml:space="preserve">https://www.apia.com.tn/subvention-financiere.html</w:t>
        </w:r>
      </w:hyperlink>
    </w:p>
  </w:footnote>
  <w:footnote w:id="3">
    <w:p>
      <w:r>
        <w:rPr>
          <w:rStyle w:val="FootnoteReference"/>
        </w:rPr>
        <w:footnoteRef/>
      </w:r>
      <w:r>
        <w:rPr>
          <w:rFonts w:ascii="Calibri" w:cs="Calibri" w:eastAsia="Calibri" w:hAnsi="Calibri"/>
          <w:sz w:val="18"/>
          <w:szCs w:val="18"/>
        </w:rPr>
        <w:t xml:space="preserve">BTS Bank, Crédit Agri-Invest — </w:t>
      </w:r>
      <w:hyperlink w:history="1" r:id="rIdp_rqu8wtncxzbluexuwi5">
        <w:r>
          <w:rPr>
            <w:rStyle w:val="Hyperlink"/>
            <w:sz w:val="18"/>
            <w:szCs w:val="18"/>
          </w:rPr>
          <w:t xml:space="preserve">https://www.bts.com.tn/credit-agri-invest-bts-bank/</w:t>
        </w:r>
      </w:hyperlink>
    </w:p>
  </w:footnote>
  <w:footnote w:id="4">
    <w:p>
      <w:r>
        <w:rPr>
          <w:rStyle w:val="FootnoteReference"/>
        </w:rPr>
        <w:footnoteRef/>
      </w:r>
      <w:r>
        <w:rPr>
          <w:rFonts w:ascii="Calibri" w:cs="Calibri" w:eastAsia="Calibri" w:hAnsi="Calibri"/>
          <w:sz w:val="18"/>
          <w:szCs w:val="18"/>
        </w:rPr>
        <w:t xml:space="preserve">TIA, Principaux mécanismes de financement (Guide officiel) — </w:t>
      </w:r>
      <w:hyperlink w:history="1" r:id="rId_aju3uawm3xwlxlg-2tfo">
        <w:r>
          <w:rPr>
            <w:rStyle w:val="Hyperlink"/>
            <w:sz w:val="18"/>
            <w:szCs w:val="18"/>
          </w:rPr>
          <w:t xml:space="preserve">https://guide.tia.gov.tn/uploads/Mecanismes_de_Financement.pdf</w:t>
        </w:r>
      </w:hyperlink>
    </w:p>
  </w:footnote>
  <w:footnote w:id="5">
    <w:p>
      <w:r>
        <w:rPr>
          <w:rStyle w:val="FootnoteReference"/>
        </w:rPr>
        <w:footnoteRef/>
      </w:r>
      <w:r>
        <w:rPr>
          <w:rFonts w:ascii="Calibri" w:cs="Calibri" w:eastAsia="Calibri" w:hAnsi="Calibri"/>
          <w:sz w:val="18"/>
          <w:szCs w:val="18"/>
        </w:rPr>
        <w:t xml:space="preserve">Loi n° 2017-8 du 14 février 2017 portant refonte du dispositif des avantages fiscaux — </w:t>
      </w:r>
      <w:hyperlink w:history="1" r:id="rIdfcg5waucm3davq4tkzjlm">
        <w:r>
          <w:rPr>
            <w:rStyle w:val="Hyperlink"/>
            <w:sz w:val="18"/>
            <w:szCs w:val="18"/>
          </w:rPr>
          <w:t xml:space="preserve">https://www.finances.gov.tn/sites/default/files/reglementaire_fr/Loi2017_8.pdf</w:t>
        </w:r>
      </w:hyperlink>
    </w:p>
  </w:footnote>
  <w:footnote w:id="6">
    <w:p>
      <w:r>
        <w:rPr>
          <w:rStyle w:val="FootnoteReference"/>
        </w:rPr>
        <w:footnoteRef/>
      </w:r>
      <w:r>
        <w:rPr>
          <w:rFonts w:ascii="Calibri" w:cs="Calibri" w:eastAsia="Calibri" w:hAnsi="Calibri"/>
          <w:sz w:val="18"/>
          <w:szCs w:val="18"/>
        </w:rPr>
        <w:t xml:space="preserve">APIA, Incitations fiscales (déductions, TVA, droits de douane) — </w:t>
      </w:r>
      <w:hyperlink w:history="1" r:id="rIdbeacozbkz1xtokvneu35j">
        <w:r>
          <w:rPr>
            <w:rStyle w:val="Hyperlink"/>
            <w:sz w:val="18"/>
            <w:szCs w:val="18"/>
          </w:rPr>
          <w:t xml:space="preserve">https://www.apia.com.tn/incitations-fiscales-2.html</w:t>
        </w:r>
      </w:hyperlink>
    </w:p>
  </w:footnote>
  <w:footnote w:id="7">
    <w:p>
      <w:r>
        <w:rPr>
          <w:rStyle w:val="FootnoteReference"/>
        </w:rPr>
        <w:footnoteRef/>
      </w:r>
      <w:r>
        <w:rPr>
          <w:rFonts w:ascii="Calibri" w:cs="Calibri" w:eastAsia="Calibri" w:hAnsi="Calibri"/>
          <w:sz w:val="18"/>
          <w:szCs w:val="18"/>
        </w:rPr>
        <w:t xml:space="preserve">La Presse de Tunisie, La BNA et le financement des récoltes 2025 — </w:t>
      </w:r>
      <w:hyperlink w:history="1" r:id="rIdi1re838ce7cymfk9z9mqs">
        <w:r>
          <w:rPr>
            <w:rStyle w:val="Hyperlink"/>
            <w:sz w:val="18"/>
            <w:szCs w:val="18"/>
          </w:rPr>
          <w:t xml:space="preserve">https://www.lapresse.tn/2026/04/30/pres-de-18-milliard-de-dinars-pour-les-recoltes-2025-la-bna-simpose-comme-le-banquier-des-cerealiers-tunisiens/</w:t>
        </w:r>
      </w:hyperlink>
    </w:p>
  </w:footnote>
  <w:footnote w:id="8">
    <w:p>
      <w:r>
        <w:rPr>
          <w:rStyle w:val="FootnoteReference"/>
        </w:rPr>
        <w:footnoteRef/>
      </w:r>
      <w:r>
        <w:rPr>
          <w:rFonts w:ascii="Calibri" w:cs="Calibri" w:eastAsia="Calibri" w:hAnsi="Calibri"/>
          <w:sz w:val="18"/>
          <w:szCs w:val="18"/>
        </w:rPr>
        <w:t xml:space="preserve">Enda Tamweel, Pack Agricole (microfinance) — </w:t>
      </w:r>
      <w:hyperlink w:history="1" r:id="rId7mungtmiha-mtfa-mivho">
        <w:r>
          <w:rPr>
            <w:rStyle w:val="Hyperlink"/>
            <w:sz w:val="18"/>
            <w:szCs w:val="18"/>
          </w:rPr>
          <w:t xml:space="preserve">https://www.endatamweel.tn/nos-services/micro-credits/pack-agricole/</w:t>
        </w:r>
      </w:hyperlink>
    </w:p>
  </w:footnote>
  <w:footnote w:id="9">
    <w:p>
      <w:r>
        <w:rPr>
          <w:rStyle w:val="FootnoteReference"/>
        </w:rPr>
        <w:footnoteRef/>
      </w:r>
      <w:r>
        <w:rPr>
          <w:rFonts w:ascii="Calibri" w:cs="Calibri" w:eastAsia="Calibri" w:hAnsi="Calibri"/>
          <w:sz w:val="18"/>
          <w:szCs w:val="18"/>
        </w:rPr>
        <w:t xml:space="preserve">BTK Leasing, Leasing Agriculture — </w:t>
      </w:r>
      <w:hyperlink w:history="1" r:id="rIdxy_-8oud2_eeyvobjiwjs">
        <w:r>
          <w:rPr>
            <w:rStyle w:val="Hyperlink"/>
            <w:sz w:val="18"/>
            <w:szCs w:val="18"/>
          </w:rPr>
          <w:t xml:space="preserve">https://www.btkleasing.tn/nos-produits/leasing-agriculture/</w:t>
        </w:r>
      </w:hyperlink>
    </w:p>
  </w:footnote>
  <w:footnote w:id="10">
    <w:p>
      <w:r>
        <w:rPr>
          <w:rStyle w:val="FootnoteReference"/>
        </w:rPr>
        <w:footnoteRef/>
      </w:r>
      <w:r>
        <w:rPr>
          <w:rFonts w:ascii="Calibri" w:cs="Calibri" w:eastAsia="Calibri" w:hAnsi="Calibri"/>
          <w:sz w:val="18"/>
          <w:szCs w:val="18"/>
        </w:rPr>
        <w:t xml:space="preserve">Startup Act Tunisie — critères et obtention du Label — </w:t>
      </w:r>
      <w:hyperlink w:history="1" r:id="rIdo6uxgsdyjikidfctgcfg4">
        <w:r>
          <w:rPr>
            <w:rStyle w:val="Hyperlink"/>
            <w:sz w:val="18"/>
            <w:szCs w:val="18"/>
          </w:rPr>
          <w:t xml:space="preserve">https://startup.gov.tn/en/startup_act/how_to_obtain_the_label</w:t>
        </w:r>
      </w:hyperlink>
    </w:p>
  </w:footnote>
  <w:footnote w:id="11">
    <w:p>
      <w:r>
        <w:rPr>
          <w:rStyle w:val="FootnoteReference"/>
        </w:rPr>
        <w:footnoteRef/>
      </w:r>
      <w:r>
        <w:rPr>
          <w:rFonts w:ascii="Calibri" w:cs="Calibri" w:eastAsia="Calibri" w:hAnsi="Calibri"/>
          <w:sz w:val="18"/>
          <w:szCs w:val="18"/>
        </w:rPr>
        <w:t xml:space="preserve">SOTUGAR, Fonds de garantie (dont FG Startups) — </w:t>
      </w:r>
      <w:hyperlink w:history="1" r:id="rIdwcvh0ifvt_-zbutcp9-nb">
        <w:r>
          <w:rPr>
            <w:rStyle w:val="Hyperlink"/>
            <w:sz w:val="18"/>
            <w:szCs w:val="18"/>
          </w:rPr>
          <w:t xml:space="preserve">https://sotugar.com.tn/fg-startups/</w:t>
        </w:r>
      </w:hyperlink>
    </w:p>
  </w:footnote>
  <w:footnote w:id="12">
    <w:p>
      <w:r>
        <w:rPr>
          <w:rStyle w:val="FootnoteReference"/>
        </w:rPr>
        <w:footnoteRef/>
      </w:r>
      <w:r>
        <w:rPr>
          <w:rFonts w:ascii="Calibri" w:cs="Calibri" w:eastAsia="Calibri" w:hAnsi="Calibri"/>
          <w:sz w:val="18"/>
          <w:szCs w:val="18"/>
        </w:rPr>
        <w:t xml:space="preserve">FIDA, Coopération avec la Tunisie (développement rural) — </w:t>
      </w:r>
      <w:hyperlink w:history="1" r:id="rIdebnla0kcr6usyjecdo4-b">
        <w:r>
          <w:rPr>
            <w:rStyle w:val="Hyperlink"/>
            <w:sz w:val="18"/>
            <w:szCs w:val="18"/>
          </w:rPr>
          <w:t xml:space="preserve">https://www.ifad.org/fr/w/actualites/ifad-and-tunisia-invest-in-improving-the-livelihoods-of-poor-rural-families</w:t>
        </w:r>
      </w:hyperlink>
    </w:p>
  </w:footnote>
  <w:footnote w:id="13">
    <w:p>
      <w:r>
        <w:rPr>
          <w:rStyle w:val="FootnoteReference"/>
        </w:rPr>
        <w:footnoteRef/>
      </w:r>
      <w:r>
        <w:rPr>
          <w:rFonts w:ascii="Calibri" w:cs="Calibri" w:eastAsia="Calibri" w:hAnsi="Calibri"/>
          <w:sz w:val="18"/>
          <w:szCs w:val="18"/>
        </w:rPr>
        <w:t xml:space="preserve">Banque mondiale, Appui à la sécurité hydrique et la résilience en Tunisie (avril 2026) — </w:t>
      </w:r>
      <w:hyperlink w:history="1" r:id="rIdamvijcndmi1dkvtsf-6pi">
        <w:r>
          <w:rPr>
            <w:rStyle w:val="Hyperlink"/>
            <w:sz w:val="18"/>
            <w:szCs w:val="18"/>
          </w:rPr>
          <w:t xml:space="preserve">https://www.banquemondiale.org/fr/news/press-release/2026/04/01/tunisia-major-push-to-strengthen-water-security-and-resilience</w:t>
        </w:r>
      </w:hyperlink>
    </w:p>
  </w:footnote>
  <w:footnote w:id="14">
    <w:p>
      <w:r>
        <w:rPr>
          <w:rStyle w:val="FootnoteReference"/>
        </w:rPr>
        <w:footnoteRef/>
      </w:r>
      <w:r>
        <w:rPr>
          <w:rFonts w:ascii="Calibri" w:cs="Calibri" w:eastAsia="Calibri" w:hAnsi="Calibri"/>
          <w:sz w:val="18"/>
          <w:szCs w:val="18"/>
        </w:rPr>
        <w:t xml:space="preserve">APIA, Subvention fiscale et pièces du dossier d'investissement — </w:t>
      </w:r>
      <w:hyperlink w:history="1" r:id="rIdu7nn2on8svnrbh2qzhxej">
        <w:r>
          <w:rPr>
            <w:rStyle w:val="Hyperlink"/>
            <w:sz w:val="18"/>
            <w:szCs w:val="18"/>
          </w:rPr>
          <w:t xml:space="preserve">https://www.apia.com.tn/subvention-fiscale.html</w:t>
        </w:r>
      </w:hyperlink>
    </w:p>
  </w:footnote>
  <w:footnote w:id="15">
    <w:p>
      <w:r>
        <w:rPr>
          <w:rStyle w:val="FootnoteReference"/>
        </w:rPr>
        <w:footnoteRef/>
      </w:r>
      <w:r>
        <w:rPr>
          <w:rFonts w:ascii="Calibri" w:cs="Calibri" w:eastAsia="Calibri" w:hAnsi="Calibri"/>
          <w:sz w:val="18"/>
          <w:szCs w:val="18"/>
        </w:rPr>
        <w:t xml:space="preserve">Loi de l'investissement 2017 (crédits fonciers, primes, régimes d'incitation) — </w:t>
      </w:r>
      <w:hyperlink w:history="1" r:id="rIdwnhsk3cryosrrphsgyojy">
        <w:r>
          <w:rPr>
            <w:rStyle w:val="Hyperlink"/>
            <w:sz w:val="18"/>
            <w:szCs w:val="18"/>
          </w:rPr>
          <w:t xml:space="preserve">https://inkyfada.com/wp-content/uploads/2018/08/Loi_investissement_2017.pdf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8C6BF" w:sz="4"/>
      </w:pBdr>
      <w:spacing w:after="0"/>
      <w:jc w:val="right"/>
    </w:pPr>
    <w:r>
      <w:rPr>
        <w:rFonts w:ascii="Calibri" w:cs="Calibri" w:eastAsia="Calibri" w:hAnsi="Calibri"/>
        <w:i/>
        <w:iCs/>
        <w:color w:val="5F5E58"/>
        <w:sz w:val="16"/>
        <w:szCs w:val="16"/>
      </w:rPr>
      <w:t xml:space="preserve">Financement des projets agricoles en Tunisie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1B5E20"/>
      </w:rPr>
    </w:lvl>
  </w:abstractNum>
  <w:abstractNum w:abstractNumId="3" w15:restartNumberingAfterBreak="0">
    <w:multiLevelType w:val="hybridMultilevel"/>
    <w:lvl w:ilvl="0" w15:tentative="1">
      <w:start w:val="1"/>
      <w:numFmt w:val="decimal"/>
      <w:lvlText w:val="%1."/>
      <w:lvlJc w:val="left"/>
      <w:pPr>
        <w:ind w:left="56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B5E20" w:sz="8"/>
      </w:pBdr>
      <w:spacing w:after="160" w:before="360"/>
      <w:outlineLvl w:val="0"/>
    </w:pPr>
    <w:rPr>
      <w:rFonts w:ascii="Calibri" w:cs="Calibri" w:eastAsia="Calibri" w:hAnsi="Calibri"/>
      <w:b/>
      <w:bCs/>
      <w:color w:val="1B5E20"/>
      <w:sz w:val="32"/>
      <w:szCs w:val="32"/>
    </w:rPr>
  </w:style>
  <w:style w:type="paragraph" w:styleId="Heading2">
    <w:name w:val="Heading 2"/>
    <w:basedOn w:val="Normal"/>
    <w:next w:val="Normal"/>
    <w:qFormat/>
    <w:pPr>
      <w:spacing w:after="120" w:before="260"/>
      <w:outlineLvl w:val="1"/>
    </w:pPr>
    <w:rPr>
      <w:rFonts w:ascii="Calibri" w:cs="Calibri" w:eastAsia="Calibri" w:hAnsi="Calibri"/>
      <w:b/>
      <w:bCs/>
      <w:color w:val="28251D"/>
      <w:sz w:val="26"/>
      <w:szCs w:val="26"/>
    </w:rPr>
  </w:style>
  <w:style w:type="paragraph" w:styleId="Heading3">
    <w:name w:val="Heading 3"/>
    <w:basedOn w:val="Normal"/>
    <w:next w:val="Normal"/>
    <w:qFormat/>
    <w:pPr>
      <w:spacing w:after="90" w:before="200"/>
      <w:outlineLvl w:val="2"/>
    </w:pPr>
    <w:rPr>
      <w:rFonts w:ascii="Calibri" w:cs="Calibri" w:eastAsia="Calibri" w:hAnsi="Calibri"/>
      <w:b/>
      <w:bCs/>
      <w:color w:val="437A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Relationship Id="rId0akq10zp9pwlc9omhig2a" Type="http://schemas.openxmlformats.org/officeDocument/2006/relationships/hyperlink" Target="https://www.apia.com.tn/incitations-financieres-2.html" TargetMode="External"/><Relationship Id="rIdtvhw9uplaui32-9cqnt3c" Type="http://schemas.openxmlformats.org/officeDocument/2006/relationships/hyperlink" Target="https://www.apia.com.tn/subvention-financiere.html" TargetMode="External"/><Relationship Id="rIdp_rqu8wtncxzbluexuwi5" Type="http://schemas.openxmlformats.org/officeDocument/2006/relationships/hyperlink" Target="https://www.bts.com.tn/credit-agri-invest-bts-bank/" TargetMode="External"/><Relationship Id="rId_aju3uawm3xwlxlg-2tfo" Type="http://schemas.openxmlformats.org/officeDocument/2006/relationships/hyperlink" Target="https://guide.tia.gov.tn/uploads/Mecanismes_de_Financement.pdf" TargetMode="External"/><Relationship Id="rIdfcg5waucm3davq4tkzjlm" Type="http://schemas.openxmlformats.org/officeDocument/2006/relationships/hyperlink" Target="https://www.finances.gov.tn/sites/default/files/reglementaire_fr/Loi2017_8.pdf" TargetMode="External"/><Relationship Id="rIdbeacozbkz1xtokvneu35j" Type="http://schemas.openxmlformats.org/officeDocument/2006/relationships/hyperlink" Target="https://www.apia.com.tn/incitations-fiscales-2.html" TargetMode="External"/><Relationship Id="rIdi1re838ce7cymfk9z9mqs" Type="http://schemas.openxmlformats.org/officeDocument/2006/relationships/hyperlink" Target="https://www.lapresse.tn/2026/04/30/pres-de-18-milliard-de-dinars-pour-les-recoltes-2025-la-bna-simpose-comme-le-banquier-des-cerealiers-tunisiens/" TargetMode="External"/><Relationship Id="rId7mungtmiha-mtfa-mivho" Type="http://schemas.openxmlformats.org/officeDocument/2006/relationships/hyperlink" Target="https://www.endatamweel.tn/nos-services/micro-credits/pack-agricole/" TargetMode="External"/><Relationship Id="rIdxy_-8oud2_eeyvobjiwjs" Type="http://schemas.openxmlformats.org/officeDocument/2006/relationships/hyperlink" Target="https://www.btkleasing.tn/nos-produits/leasing-agriculture/" TargetMode="External"/><Relationship Id="rIdo6uxgsdyjikidfctgcfg4" Type="http://schemas.openxmlformats.org/officeDocument/2006/relationships/hyperlink" Target="https://startup.gov.tn/en/startup_act/how_to_obtain_the_label" TargetMode="External"/><Relationship Id="rIdwcvh0ifvt_-zbutcp9-nb" Type="http://schemas.openxmlformats.org/officeDocument/2006/relationships/hyperlink" Target="https://sotugar.com.tn/fg-startups/" TargetMode="External"/><Relationship Id="rIdebnla0kcr6usyjecdo4-b" Type="http://schemas.openxmlformats.org/officeDocument/2006/relationships/hyperlink" Target="https://www.ifad.org/fr/w/actualites/ifad-and-tunisia-invest-in-improving-the-livelihoods-of-poor-rural-families" TargetMode="External"/><Relationship Id="rIdamvijcndmi1dkvtsf-6pi" Type="http://schemas.openxmlformats.org/officeDocument/2006/relationships/hyperlink" Target="https://www.banquemondiale.org/fr/news/press-release/2026/04/01/tunisia-major-push-to-strengthen-water-security-and-resilience" TargetMode="External"/><Relationship Id="rIdu7nn2on8svnrbh2qzhxej" Type="http://schemas.openxmlformats.org/officeDocument/2006/relationships/hyperlink" Target="https://www.apia.com.tn/subvention-fiscale.html" TargetMode="External"/><Relationship Id="rIdwnhsk3cryosrrphsgyojy" Type="http://schemas.openxmlformats.org/officeDocument/2006/relationships/hyperlink" Target="https://inkyfada.com/wp-content/uploads/2018/08/Loi_investissement_2017.pdf" TargetMode="External"/></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Mécanismes de financement des projets agricoles en Tunisie</dc:title>
  <dc:creator>Livre blanc — Financement agricole en Tunisie</dc:creator>
  <cp:lastModifiedBy>Un-named</cp:lastModifiedBy>
  <cp:revision>1</cp:revision>
  <dcterms:created xsi:type="dcterms:W3CDTF">2026-05-30T06:28:17.246Z</dcterms:created>
  <dcterms:modified xsi:type="dcterms:W3CDTF">2026-05-30T06:28:17.253Z</dcterms:modified>
</cp:coreProperties>
</file>

<file path=docProps/custom.xml><?xml version="1.0" encoding="utf-8"?>
<Properties xmlns="http://schemas.openxmlformats.org/officeDocument/2006/custom-properties" xmlns:vt="http://schemas.openxmlformats.org/officeDocument/2006/docPropsVTypes"/>
</file>