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700"/>
      </w:pPr>
      <w:r>
        <w:rPr>
          <w:rFonts w:ascii="Calibri" w:cs="Calibri" w:eastAsia="Calibri" w:hAnsi="Calibri"/>
        </w:rPr>
        <w:t xml:space="preserve"/>
      </w:r>
    </w:p>
    <w:p>
      <w:pPr>
        <w:spacing w:after="120"/>
        <w:jc w:val="left"/>
      </w:pPr>
      <w:r>
        <w:rPr>
          <w:rFonts w:ascii="Calibri" w:cs="Calibri" w:eastAsia="Calibri" w:hAnsi="Calibri"/>
          <w:b/>
          <w:bCs/>
          <w:color w:val="01696F"/>
          <w:spacing w:val="60"/>
          <w:sz w:val="26"/>
          <w:szCs w:val="26"/>
        </w:rPr>
        <w:t xml:space="preserve">LIVRE BLANC</w:t>
      </w:r>
    </w:p>
    <w:p>
      <w:pPr>
        <w:pBdr>
          <w:bottom w:val="single" w:color="01696F" w:sz="18" w:space="1"/>
        </w:pBdr>
        <w:spacing w:after="0"/>
      </w:pPr>
      <w:r>
        <w:rPr>
          <w:rFonts w:ascii="Calibri" w:cs="Calibri" w:eastAsia="Calibri" w:hAnsi="Calibri"/>
        </w:rPr>
        <w:t xml:space="preserve"/>
      </w:r>
    </w:p>
    <w:p>
      <w:pPr>
        <w:spacing w:after="240"/>
      </w:pPr>
      <w:r>
        <w:rPr>
          <w:rFonts w:ascii="Calibri" w:cs="Calibri" w:eastAsia="Calibri" w:hAnsi="Calibri"/>
        </w:rPr>
        <w:t xml:space="preserve"/>
      </w:r>
    </w:p>
    <w:p>
      <w:pPr>
        <w:spacing w:after="40"/>
      </w:pPr>
      <w:r>
        <w:rPr>
          <w:rFonts w:ascii="Calibri" w:cs="Calibri" w:eastAsia="Calibri" w:hAnsi="Calibri"/>
          <w:b/>
          <w:bCs/>
          <w:color w:val="0C4E54"/>
          <w:sz w:val="60"/>
          <w:szCs w:val="60"/>
        </w:rPr>
        <w:t xml:space="preserve">Les sociétés communautaires</w:t>
      </w:r>
    </w:p>
    <w:p>
      <w:pPr>
        <w:spacing w:after="220"/>
      </w:pPr>
      <w:r>
        <w:rPr>
          <w:rFonts w:ascii="Calibri" w:cs="Calibri" w:eastAsia="Calibri" w:hAnsi="Calibri"/>
          <w:b/>
          <w:bCs/>
          <w:color w:val="0C4E54"/>
          <w:sz w:val="60"/>
          <w:szCs w:val="60"/>
        </w:rPr>
        <w:t xml:space="preserve">en Tunisie</w:t>
      </w:r>
    </w:p>
    <w:p>
      <w:pPr>
        <w:spacing w:after="300" w:line="320"/>
      </w:pPr>
      <w:r>
        <w:rPr>
          <w:rFonts w:ascii="Calibri" w:cs="Calibri" w:eastAsia="Calibri" w:hAnsi="Calibri"/>
          <w:color w:val="1B2A2C"/>
          <w:sz w:val="26"/>
          <w:szCs w:val="26"/>
        </w:rPr>
        <w:t xml:space="preserve">Guide pratique du régime juridique et fiscal, de la gouvernance et des étapes de constitution</w:t>
      </w:r>
    </w:p>
    <w:p>
      <w:pPr>
        <w:pBdr>
          <w:bottom w:val="single" w:color="B8C4C4" w:sz="6" w:space="1"/>
        </w:pBdr>
        <w:spacing w:after="60"/>
      </w:pPr>
      <w:r>
        <w:rPr>
          <w:rFonts w:ascii="Calibri" w:cs="Calibri" w:eastAsia="Calibri" w:hAnsi="Calibri"/>
        </w:rPr>
        <w:t xml:space="preserve"/>
      </w:r>
    </w:p>
    <w:p>
      <w:pPr>
        <w:spacing w:after="60" w:before="200"/>
      </w:pPr>
      <w:r>
        <w:rPr>
          <w:rFonts w:ascii="Calibri" w:cs="Calibri" w:eastAsia="Calibri" w:hAnsi="Calibri"/>
          <w:b/>
          <w:bCs/>
          <w:color w:val="1B2A2C"/>
          <w:sz w:val="22"/>
          <w:szCs w:val="22"/>
        </w:rPr>
        <w:t xml:space="preserve">Édition 2026 — à jour du décret-loi n° 2025-3 du 2 octobre 2025</w:t>
      </w:r>
    </w:p>
    <w:p>
      <w:pPr>
        <w:spacing w:after="1900"/>
      </w:pPr>
      <w:r>
        <w:rPr>
          <w:rFonts w:ascii="Calibri" w:cs="Calibri" w:eastAsia="Calibri" w:hAnsi="Calibri"/>
          <w:i/>
          <w:iCs/>
          <w:color w:val="5C6A6B"/>
          <w:sz w:val="21"/>
          <w:szCs w:val="21"/>
        </w:rPr>
        <w:t xml:space="preserve">Document de référence destiné aux professionnels et aux particuliers</w:t>
      </w:r>
    </w:p>
    <w:p>
      <w:pPr>
        <w:spacing w:line="240"/>
        <w:jc w:val="both"/>
      </w:pPr>
      <w:r>
        <w:rPr>
          <w:rFonts w:ascii="Calibri" w:cs="Calibri" w:eastAsia="Calibri" w:hAnsi="Calibri"/>
          <w:i/>
          <w:iCs/>
          <w:color w:val="5C6A6B"/>
          <w:sz w:val="17"/>
          <w:szCs w:val="17"/>
        </w:rPr>
        <w:t xml:space="preserve">AVERTISSEMENT — Ce livre blanc est un document d’information générale. Il ne constitue pas un conseil juridique ou fiscal personnalisé. Le cadre des sociétés communautaires évolue rapidement ; toute opération doit être validée au regard des textes en vigueur et, le cas échéant, avec l’appui d’un professionnel du droit ou de la comptabilité.</w:t>
      </w:r>
    </w:p>
    <w:p>
      <w:pPr>
        <w:pStyle w:val="Heading1"/>
        <w:pageBreakBefore/>
        <w:pBdr>
          <w:bottom w:val="single" w:color="01696F" w:sz="12" w:space="6"/>
        </w:pBdr>
        <w:spacing w:after="120"/>
      </w:pPr>
      <w:r>
        <w:rPr>
          <w:rFonts w:ascii="Calibri" w:cs="Calibri" w:eastAsia="Calibri" w:hAnsi="Calibri"/>
          <w:b/>
          <w:bCs/>
          <w:color w:val="0C4E54"/>
          <w:sz w:val="32"/>
          <w:szCs w:val="32"/>
        </w:rPr>
        <w:t xml:space="preserve">Sommaire</w:t>
      </w:r>
    </w:p>
    <w:sdt>
      <w:sdtPr>
        <w:alias w:val="Sommaire"/>
      </w:sdtPr>
      <w:sdtContent>
        <w:p>
          <w:r>
            <w:fldChar w:fldCharType="begin" w:dirty="true"/>
            <w:instrText xml:space="preserve">TOC \h \o "1-2"</w:instrText>
            <w:fldChar w:fldCharType="separate"/>
          </w:r>
        </w:p>
        <w:p>
          <w:r>
            <w:fldChar w:fldCharType="end"/>
          </w:r>
        </w:p>
      </w:sdtContent>
    </w:sdt>
    <w:p>
      <w:pPr>
        <w:pStyle w:val="Heading1"/>
        <w:pageBreakBefore/>
        <w:pBdr>
          <w:bottom w:val="single" w:color="01696F" w:sz="12" w:space="6"/>
        </w:pBdr>
        <w:spacing w:after="60" w:before="120"/>
      </w:pPr>
      <w:r>
        <w:rPr>
          <w:rFonts w:ascii="Calibri" w:cs="Calibri" w:eastAsia="Calibri" w:hAnsi="Calibri"/>
          <w:b/>
          <w:bCs/>
          <w:color w:val="0C4E54"/>
          <w:sz w:val="32"/>
          <w:szCs w:val="32"/>
        </w:rPr>
        <w:t xml:space="preserve">1. Introduction et contexte</w:t>
      </w:r>
    </w:p>
    <w:p>
      <w:pPr>
        <w:spacing w:after="160" w:line="290"/>
        <w:jc w:val="both"/>
      </w:pPr>
      <w:r>
        <w:rPr>
          <w:rFonts w:ascii="Calibri" w:cs="Calibri" w:eastAsia="Calibri" w:hAnsi="Calibri"/>
          <w:color w:val="1B2A2C"/>
          <w:sz w:val="22"/>
          <w:szCs w:val="22"/>
        </w:rPr>
        <w:t xml:space="preserve">Les sociétés communautaires (الشركة الأهلية) constituent une forme juridique tunisienne nouvelle, introduite pour porter une vision de justice sociale, de répartition équitable des richesses et de développement régional fondé sur l’initiative collective des habitants d’un territoire.</w:t>
      </w:r>
      <w:r>
        <w:rPr>
          <w:rStyle w:val="FootnoteReference"/>
        </w:rPr>
        <w:footnoteReference w:id="1"/>
      </w:r>
    </w:p>
    <w:p>
      <w:pPr>
        <w:spacing w:after="140" w:before="0" w:line="276"/>
        <w:jc w:val="both"/>
      </w:pPr>
      <w:r>
        <w:rPr>
          <w:rFonts w:ascii="Calibri" w:cs="Calibri" w:eastAsia="Calibri" w:hAnsi="Calibri"/>
          <w:color w:val="1B2A2C"/>
          <w:sz w:val="21"/>
          <w:szCs w:val="21"/>
        </w:rPr>
        <w:t xml:space="preserve">Conçue comme un outil d’économie sociale et solidaire, la société communautaire se distingue nettement des sociétés commerciales classiques régies par le Code des sociétés commerciales — telles que la SARL, la SUARL ou la SA. Elle n’a pas un objectif purement lucratif : sa raison d’être est de créer de la richesse au profit de la communauté et de ses participants, à travers l’exercice collectif d’une activité économique ancrée dans un territoire donné.</w:t>
      </w:r>
      <w:r>
        <w:rPr>
          <w:rStyle w:val="FootnoteReference"/>
        </w:rPr>
        <w:footnoteReference w:id="2"/>
      </w:r>
    </w:p>
    <w:p>
      <w:pPr>
        <w:spacing w:after="140" w:before="0" w:line="276"/>
        <w:jc w:val="both"/>
      </w:pPr>
      <w:r>
        <w:rPr>
          <w:rFonts w:ascii="Calibri" w:cs="Calibri" w:eastAsia="Calibri" w:hAnsi="Calibri"/>
          <w:color w:val="1B2A2C"/>
          <w:sz w:val="21"/>
          <w:szCs w:val="21"/>
        </w:rPr>
        <w:t xml:space="preserve">Le dispositif a connu une évolution réglementaire majeure. Le </w:t>
      </w:r>
      <w:r>
        <w:rPr>
          <w:rFonts w:ascii="Calibri" w:cs="Calibri" w:eastAsia="Calibri" w:hAnsi="Calibri"/>
          <w:b/>
          <w:bCs/>
          <w:color w:val="1B2A2C"/>
          <w:sz w:val="21"/>
          <w:szCs w:val="21"/>
        </w:rPr>
        <w:t xml:space="preserve">décret-loi n° 2022-15 du 20 mars 2022</w:t>
      </w:r>
      <w:r>
        <w:rPr>
          <w:rFonts w:ascii="Calibri" w:cs="Calibri" w:eastAsia="Calibri" w:hAnsi="Calibri"/>
          <w:color w:val="1B2A2C"/>
          <w:sz w:val="21"/>
          <w:szCs w:val="21"/>
        </w:rPr>
        <w:t xml:space="preserve"> a posé le cadre fondateur.</w:t>
      </w:r>
      <w:r>
        <w:rPr>
          <w:rStyle w:val="FootnoteReference"/>
        </w:rPr>
        <w:footnoteReference w:id="3"/>
      </w:r>
      <w:r>
        <w:rPr>
          <w:rFonts w:ascii="Calibri" w:cs="Calibri" w:eastAsia="Calibri" w:hAnsi="Calibri"/>
          <w:color w:val="1B2A2C"/>
          <w:sz w:val="21"/>
          <w:szCs w:val="21"/>
        </w:rPr>
        <w:t xml:space="preserve"> Le </w:t>
      </w:r>
      <w:r>
        <w:rPr>
          <w:rFonts w:ascii="Calibri" w:cs="Calibri" w:eastAsia="Calibri" w:hAnsi="Calibri"/>
          <w:b/>
          <w:bCs/>
          <w:color w:val="1B2A2C"/>
          <w:sz w:val="21"/>
          <w:szCs w:val="21"/>
        </w:rPr>
        <w:t xml:space="preserve">décret présidentiel n° 2022-498 du 19 mai 2022</w:t>
      </w:r>
      <w:r>
        <w:rPr>
          <w:rFonts w:ascii="Calibri" w:cs="Calibri" w:eastAsia="Calibri" w:hAnsi="Calibri"/>
          <w:color w:val="1B2A2C"/>
          <w:sz w:val="21"/>
          <w:szCs w:val="21"/>
        </w:rPr>
        <w:t xml:space="preserve"> a fixé les statuts-types des sociétés locales et régionales.</w:t>
      </w:r>
      <w:r>
        <w:rPr>
          <w:rStyle w:val="FootnoteReference"/>
        </w:rPr>
        <w:footnoteReference w:id="4"/>
      </w:r>
      <w:r>
        <w:rPr>
          <w:rFonts w:ascii="Calibri" w:cs="Calibri" w:eastAsia="Calibri" w:hAnsi="Calibri"/>
          <w:color w:val="1B2A2C"/>
          <w:sz w:val="21"/>
          <w:szCs w:val="21"/>
        </w:rPr>
        <w:t xml:space="preserve"> Puis, près de trois ans plus tard, le </w:t>
      </w:r>
      <w:r>
        <w:rPr>
          <w:rFonts w:ascii="Calibri" w:cs="Calibri" w:eastAsia="Calibri" w:hAnsi="Calibri"/>
          <w:b/>
          <w:bCs/>
          <w:color w:val="1B2A2C"/>
          <w:sz w:val="21"/>
          <w:szCs w:val="21"/>
        </w:rPr>
        <w:t xml:space="preserve">décret-loi n° 2025-3 du 2 octobre 2025</w:t>
      </w:r>
      <w:r>
        <w:rPr>
          <w:rFonts w:ascii="Calibri" w:cs="Calibri" w:eastAsia="Calibri" w:hAnsi="Calibri"/>
          <w:color w:val="1B2A2C"/>
          <w:sz w:val="21"/>
          <w:szCs w:val="21"/>
        </w:rPr>
        <w:t xml:space="preserve">, publié au JORT le 3 octobre 2025, a profondément réformé le régime : il a abaissé les seuils de capital et de participants, simplifié les procédures, renforcé la gouvernance et clarifié les avantages fiscaux.</w:t>
      </w:r>
      <w:r>
        <w:rPr>
          <w:rStyle w:val="FootnoteReference"/>
        </w:rPr>
        <w:footnoteReference w:id="5"/>
      </w:r>
    </w:p>
    <w:p>
      <w:pPr>
        <w:pStyle w:val="Heading2"/>
        <w:spacing w:after="100" w:before="240"/>
      </w:pPr>
      <w:r>
        <w:rPr>
          <w:rFonts w:ascii="Calibri" w:cs="Calibri" w:eastAsia="Calibri" w:hAnsi="Calibri"/>
          <w:b/>
          <w:bCs/>
          <w:color w:val="0C4E54"/>
          <w:sz w:val="25"/>
          <w:szCs w:val="25"/>
        </w:rPr>
        <w:t xml:space="preserve">À qui s’adresse ce guide</w:t>
      </w:r>
    </w:p>
    <w:p>
      <w:pPr>
        <w:spacing w:after="140" w:before="0" w:line="276"/>
        <w:jc w:val="both"/>
      </w:pPr>
      <w:r>
        <w:rPr>
          <w:rFonts w:ascii="Calibri" w:cs="Calibri" w:eastAsia="Calibri" w:hAnsi="Calibri"/>
          <w:color w:val="1B2A2C"/>
          <w:sz w:val="21"/>
          <w:szCs w:val="21"/>
        </w:rPr>
        <w:t xml:space="preserve">Ce livre blanc s’adresse à un public large :</w:t>
      </w:r>
    </w:p>
    <w:p>
      <w:pPr>
        <w:pStyle w:val="ListParagraph"/>
        <w:numPr>
          <w:ilvl w:val="0"/>
          <w:numId w:val="2"/>
        </w:numPr>
        <w:spacing w:after="70" w:line="268"/>
        <w:jc w:val="both"/>
      </w:pPr>
      <w:r>
        <w:rPr>
          <w:rFonts w:ascii="Calibri" w:cs="Calibri" w:eastAsia="Calibri" w:hAnsi="Calibri"/>
          <w:b/>
          <w:bCs/>
          <w:color w:val="1B2A2C"/>
          <w:sz w:val="21"/>
          <w:szCs w:val="21"/>
        </w:rPr>
        <w:t xml:space="preserve">Particuliers et porteurs de projets</w:t>
      </w:r>
      <w:r>
        <w:rPr>
          <w:rFonts w:ascii="Calibri" w:cs="Calibri" w:eastAsia="Calibri" w:hAnsi="Calibri"/>
          <w:color w:val="1B2A2C"/>
          <w:sz w:val="21"/>
          <w:szCs w:val="21"/>
        </w:rPr>
        <w:t xml:space="preserve"> souhaitant comprendre le modèle, vérifier leur éligibilité et estimer l’effort de constitution ;</w:t>
      </w:r>
    </w:p>
    <w:p>
      <w:pPr>
        <w:pStyle w:val="ListParagraph"/>
        <w:numPr>
          <w:ilvl w:val="0"/>
          <w:numId w:val="2"/>
        </w:numPr>
        <w:spacing w:after="70" w:line="268"/>
        <w:jc w:val="both"/>
      </w:pPr>
      <w:r>
        <w:rPr>
          <w:rFonts w:ascii="Calibri" w:cs="Calibri" w:eastAsia="Calibri" w:hAnsi="Calibri"/>
          <w:b/>
          <w:bCs/>
          <w:color w:val="1B2A2C"/>
          <w:sz w:val="21"/>
          <w:szCs w:val="21"/>
        </w:rPr>
        <w:t xml:space="preserve">Groupes communautaires</w:t>
      </w:r>
      <w:r>
        <w:rPr>
          <w:rFonts w:ascii="Calibri" w:cs="Calibri" w:eastAsia="Calibri" w:hAnsi="Calibri"/>
          <w:color w:val="1B2A2C"/>
          <w:sz w:val="21"/>
          <w:szCs w:val="21"/>
        </w:rPr>
        <w:t xml:space="preserve"> (habitants d’une délégation ou d’un gouvernorat) désireux de mutualiser des ressources autour d’un projet économique local ;</w:t>
      </w:r>
    </w:p>
    <w:p>
      <w:pPr>
        <w:pStyle w:val="ListParagraph"/>
        <w:numPr>
          <w:ilvl w:val="0"/>
          <w:numId w:val="2"/>
        </w:numPr>
        <w:spacing w:after="70" w:line="268"/>
        <w:jc w:val="both"/>
      </w:pPr>
      <w:r>
        <w:rPr>
          <w:rFonts w:ascii="Calibri" w:cs="Calibri" w:eastAsia="Calibri" w:hAnsi="Calibri"/>
          <w:b/>
          <w:bCs/>
          <w:color w:val="1B2A2C"/>
          <w:sz w:val="21"/>
          <w:szCs w:val="21"/>
        </w:rPr>
        <w:t xml:space="preserve">Professionnels du chiffre et du droit</w:t>
      </w:r>
      <w:r>
        <w:rPr>
          <w:rFonts w:ascii="Calibri" w:cs="Calibri" w:eastAsia="Calibri" w:hAnsi="Calibri"/>
          <w:color w:val="1B2A2C"/>
          <w:sz w:val="21"/>
          <w:szCs w:val="21"/>
        </w:rPr>
        <w:t xml:space="preserve"> (experts-comptables, avocats, conseillers) appelés à accompagner la création et la gestion de ces structures ;</w:t>
      </w:r>
    </w:p>
    <w:p>
      <w:pPr>
        <w:pStyle w:val="ListParagraph"/>
        <w:numPr>
          <w:ilvl w:val="0"/>
          <w:numId w:val="2"/>
        </w:numPr>
        <w:spacing w:after="70" w:line="268"/>
        <w:jc w:val="both"/>
      </w:pPr>
      <w:r>
        <w:rPr>
          <w:rFonts w:ascii="Calibri" w:cs="Calibri" w:eastAsia="Calibri" w:hAnsi="Calibri"/>
          <w:b/>
          <w:bCs/>
          <w:color w:val="1B2A2C"/>
          <w:sz w:val="21"/>
          <w:szCs w:val="21"/>
        </w:rPr>
        <w:t xml:space="preserve">Acteurs institutionnels et financiers</w:t>
      </w:r>
      <w:r>
        <w:rPr>
          <w:rFonts w:ascii="Calibri" w:cs="Calibri" w:eastAsia="Calibri" w:hAnsi="Calibri"/>
          <w:color w:val="1B2A2C"/>
          <w:sz w:val="21"/>
          <w:szCs w:val="21"/>
        </w:rPr>
        <w:t xml:space="preserve"> (collectivités, banques, structures d’appui) impliqués dans le financement et l’accompagnement.</w:t>
      </w:r>
    </w:p>
    <w:p>
      <w:pPr>
        <w:pStyle w:val="Heading2"/>
        <w:spacing w:after="100" w:before="240"/>
      </w:pPr>
      <w:r>
        <w:rPr>
          <w:rFonts w:ascii="Calibri" w:cs="Calibri" w:eastAsia="Calibri" w:hAnsi="Calibri"/>
          <w:b/>
          <w:bCs/>
          <w:color w:val="0C4E54"/>
          <w:sz w:val="25"/>
          <w:szCs w:val="25"/>
        </w:rPr>
        <w:t xml:space="preserve">Une réforme à double lecture</w:t>
      </w:r>
    </w:p>
    <w:p>
      <w:pPr>
        <w:spacing w:after="140" w:before="0" w:line="276"/>
        <w:jc w:val="both"/>
      </w:pPr>
      <w:r>
        <w:rPr>
          <w:rFonts w:ascii="Calibri" w:cs="Calibri" w:eastAsia="Calibri" w:hAnsi="Calibri"/>
          <w:color w:val="1B2A2C"/>
          <w:sz w:val="21"/>
          <w:szCs w:val="21"/>
        </w:rPr>
        <w:t xml:space="preserve">Le lecteur doit garder à l’esprit que de nombreuses sources publiées avant octobre 2025 décrivent le régime initial de 2022 (50 participants minimum, capital de 10 000 / 20 000 dinars, conseil d’administration de 6, 9 ou 12 membres).</w:t>
      </w:r>
      <w:r>
        <w:rPr>
          <w:rStyle w:val="FootnoteReference"/>
        </w:rPr>
        <w:footnoteReference w:id="6"/>
      </w:r>
      <w:r>
        <w:rPr>
          <w:rFonts w:ascii="Calibri" w:cs="Calibri" w:eastAsia="Calibri" w:hAnsi="Calibri"/>
          <w:color w:val="1B2A2C"/>
          <w:sz w:val="21"/>
          <w:szCs w:val="21"/>
        </w:rPr>
        <w:t xml:space="preserve"> La réforme de 2025 a modifié plusieurs de ces paramètres clés. Le présent guide privilégie systématiquement le </w:t>
      </w:r>
      <w:r>
        <w:rPr>
          <w:rFonts w:ascii="Calibri" w:cs="Calibri" w:eastAsia="Calibri" w:hAnsi="Calibri"/>
          <w:b/>
          <w:bCs/>
          <w:color w:val="1B2A2C"/>
          <w:sz w:val="21"/>
          <w:szCs w:val="21"/>
        </w:rPr>
        <w:t xml:space="preserve">régime en vigueur issu du décret-loi n° 2025-3 de 2025</w:t>
      </w:r>
      <w:r>
        <w:rPr>
          <w:rFonts w:ascii="Calibri" w:cs="Calibri" w:eastAsia="Calibri" w:hAnsi="Calibri"/>
          <w:color w:val="1B2A2C"/>
          <w:sz w:val="21"/>
          <w:szCs w:val="21"/>
        </w:rPr>
        <w:t xml:space="preserve">, tout en signalant, lorsque c’est utile, les dispositions antérieures pour éviter toute confusion.</w:t>
      </w:r>
    </w:p>
    <w:tbl>
      <w:tblPr>
        <w:tblW w:type="dxa" w:w="9360"/>
        <w:tblBorders>
          <w:top w:val="single" w:color="EAF1F1" w:sz="1"/>
          <w:left w:val="single" w:color="01696F" w:sz="24"/>
          <w:bottom w:val="single" w:color="EAF1F1" w:sz="1"/>
          <w:right w:val="single" w:color="EAF1F1" w:sz="1"/>
          <w:insideH w:val="none"/>
          <w:insideV w:val="none"/>
        </w:tblBorders>
      </w:tblPr>
      <w:tblGrid>
        <w:gridCol w:w="9360"/>
      </w:tblGrid>
      <w:tr>
        <w:tc>
          <w:tcPr>
            <w:tcW w:type="dxa" w:w="9360"/>
            <w:shd w:fill="EAF1F1" w:color="auto" w:val="clear"/>
            <w:tcMar>
              <w:top w:type="dxa" w:w="120"/>
              <w:left w:type="dxa" w:w="200"/>
              <w:bottom w:type="dxa" w:w="120"/>
              <w:right w:type="dxa" w:w="160"/>
            </w:tcMar>
          </w:tcPr>
          <w:p>
            <w:pPr>
              <w:spacing w:after="60"/>
            </w:pPr>
            <w:r>
              <w:rPr>
                <w:rFonts w:ascii="Calibri" w:cs="Calibri" w:eastAsia="Calibri" w:hAnsi="Calibri"/>
                <w:b/>
                <w:bCs/>
                <w:color w:val="0C4E54"/>
                <w:sz w:val="21"/>
                <w:szCs w:val="21"/>
              </w:rPr>
              <w:t xml:space="preserve">En un coup d’œil</w:t>
            </w:r>
          </w:p>
          <w:p>
            <w:pPr>
              <w:spacing w:after="60" w:line="264"/>
              <w:jc w:val="both"/>
            </w:pPr>
            <w:r>
              <w:rPr>
                <w:rFonts w:ascii="Calibri" w:cs="Calibri" w:eastAsia="Calibri" w:hAnsi="Calibri"/>
                <w:b/>
                <w:bCs/>
                <w:color w:val="1B2A2C"/>
                <w:sz w:val="20"/>
                <w:szCs w:val="20"/>
              </w:rPr>
              <w:t xml:space="preserve">Nature</w:t>
            </w:r>
            <w:r>
              <w:rPr>
                <w:rFonts w:ascii="Calibri" w:cs="Calibri" w:eastAsia="Calibri" w:hAnsi="Calibri"/>
                <w:color w:val="1B2A2C"/>
                <w:sz w:val="20"/>
                <w:szCs w:val="20"/>
              </w:rPr>
              <w:t xml:space="preserve"> : personne morale d’économie sociale et solidaire, à finalité de développement local et régional.</w:t>
            </w:r>
          </w:p>
          <w:p>
            <w:pPr>
              <w:spacing w:after="60" w:line="264"/>
              <w:jc w:val="both"/>
            </w:pPr>
            <w:r>
              <w:rPr>
                <w:rFonts w:ascii="Calibri" w:cs="Calibri" w:eastAsia="Calibri" w:hAnsi="Calibri"/>
                <w:b/>
                <w:bCs/>
                <w:color w:val="1B2A2C"/>
                <w:sz w:val="20"/>
                <w:szCs w:val="20"/>
              </w:rPr>
              <w:t xml:space="preserve">Deux catégories</w:t>
            </w:r>
            <w:r>
              <w:rPr>
                <w:rFonts w:ascii="Calibri" w:cs="Calibri" w:eastAsia="Calibri" w:hAnsi="Calibri"/>
                <w:color w:val="1B2A2C"/>
                <w:sz w:val="20"/>
                <w:szCs w:val="20"/>
              </w:rPr>
              <w:t xml:space="preserve"> : sociétés communautaires locales (à l’échelle d’une délégation) et régionales (à l’échelle d’un gouvernorat).</w:t>
            </w:r>
          </w:p>
          <w:p>
            <w:pPr>
              <w:spacing w:after="60" w:line="264"/>
              <w:jc w:val="both"/>
            </w:pPr>
            <w:r>
              <w:rPr>
                <w:rFonts w:ascii="Calibri" w:cs="Calibri" w:eastAsia="Calibri" w:hAnsi="Calibri"/>
                <w:b/>
                <w:bCs/>
                <w:color w:val="1B2A2C"/>
                <w:sz w:val="20"/>
                <w:szCs w:val="20"/>
              </w:rPr>
              <w:t xml:space="preserve">Principe démocratique</w:t>
            </w:r>
            <w:r>
              <w:rPr>
                <w:rFonts w:ascii="Calibri" w:cs="Calibri" w:eastAsia="Calibri" w:hAnsi="Calibri"/>
                <w:color w:val="1B2A2C"/>
                <w:sz w:val="20"/>
                <w:szCs w:val="20"/>
              </w:rPr>
              <w:t xml:space="preserve"> : une personne, une voix, quel que soit l’apport au capital.</w:t>
            </w:r>
          </w:p>
          <w:p>
            <w:pPr>
              <w:spacing w:after="0" w:line="264"/>
              <w:jc w:val="both"/>
            </w:pPr>
            <w:r>
              <w:rPr>
                <w:rFonts w:ascii="Calibri" w:cs="Calibri" w:eastAsia="Calibri" w:hAnsi="Calibri"/>
                <w:b/>
                <w:bCs/>
                <w:color w:val="1B2A2C"/>
                <w:sz w:val="20"/>
                <w:szCs w:val="20"/>
              </w:rPr>
              <w:t xml:space="preserve">Avantage phare</w:t>
            </w:r>
            <w:r>
              <w:rPr>
                <w:rFonts w:ascii="Calibri" w:cs="Calibri" w:eastAsia="Calibri" w:hAnsi="Calibri"/>
                <w:color w:val="1B2A2C"/>
                <w:sz w:val="20"/>
                <w:szCs w:val="20"/>
              </w:rPr>
              <w:t xml:space="preserve"> : exonération fiscale large pendant 10 ans à compter de la création.</w:t>
            </w:r>
          </w:p>
        </w:tc>
      </w:tr>
    </w:tbl>
    <w:p>
      <w:pPr>
        <w:pStyle w:val="Heading1"/>
        <w:pageBreakBefore/>
        <w:pBdr>
          <w:bottom w:val="single" w:color="01696F" w:sz="12" w:space="6"/>
        </w:pBdr>
        <w:spacing w:after="60" w:before="120"/>
      </w:pPr>
      <w:r>
        <w:rPr>
          <w:rFonts w:ascii="Calibri" w:cs="Calibri" w:eastAsia="Calibri" w:hAnsi="Calibri"/>
          <w:b/>
          <w:bCs/>
          <w:color w:val="0C4E54"/>
          <w:sz w:val="32"/>
          <w:szCs w:val="32"/>
        </w:rPr>
        <w:t xml:space="preserve">2. Notion et cadre juridique</w:t>
      </w:r>
    </w:p>
    <w:p>
      <w:pPr>
        <w:pStyle w:val="Heading2"/>
        <w:spacing w:after="100" w:before="240"/>
      </w:pPr>
      <w:r>
        <w:rPr>
          <w:rFonts w:ascii="Calibri" w:cs="Calibri" w:eastAsia="Calibri" w:hAnsi="Calibri"/>
          <w:b/>
          <w:bCs/>
          <w:color w:val="0C4E54"/>
          <w:sz w:val="25"/>
          <w:szCs w:val="25"/>
        </w:rPr>
        <w:t xml:space="preserve">2.1 Définition légale</w:t>
      </w:r>
    </w:p>
    <w:p>
      <w:pPr>
        <w:spacing w:after="140" w:before="0" w:line="276"/>
        <w:jc w:val="both"/>
      </w:pPr>
      <w:r>
        <w:rPr>
          <w:rFonts w:ascii="Calibri" w:cs="Calibri" w:eastAsia="Calibri" w:hAnsi="Calibri"/>
          <w:color w:val="1B2A2C"/>
          <w:sz w:val="21"/>
          <w:szCs w:val="21"/>
        </w:rPr>
        <w:t xml:space="preserve">Au sens de l’article 2 du décret-loi n° 2022-15, est considérée comme société communautaire </w:t>
      </w:r>
      <w:r>
        <w:rPr>
          <w:rFonts w:ascii="Calibri" w:cs="Calibri" w:eastAsia="Calibri" w:hAnsi="Calibri"/>
          <w:b/>
          <w:bCs/>
          <w:color w:val="1B2A2C"/>
          <w:sz w:val="21"/>
          <w:szCs w:val="21"/>
        </w:rPr>
        <w:t xml:space="preserve">toute personne morale créée par un groupe communautaire</w:t>
      </w:r>
      <w:r>
        <w:rPr>
          <w:rFonts w:ascii="Calibri" w:cs="Calibri" w:eastAsia="Calibri" w:hAnsi="Calibri"/>
          <w:color w:val="1B2A2C"/>
          <w:sz w:val="21"/>
          <w:szCs w:val="21"/>
        </w:rPr>
        <w:t xml:space="preserve">, dont la raison d’être consiste en la réalisation de la justice sociale et la répartition équitable des richesses, à travers l’exercice collectif d’une activité économique à partir de la zone territoriale dans laquelle le groupe communautaire est installé.</w:t>
      </w:r>
      <w:r>
        <w:rPr>
          <w:rStyle w:val="FootnoteReference"/>
        </w:rPr>
        <w:footnoteReference w:id="7"/>
      </w:r>
    </w:p>
    <w:p>
      <w:pPr>
        <w:spacing w:after="140" w:before="0" w:line="276"/>
        <w:jc w:val="both"/>
      </w:pPr>
      <w:r>
        <w:rPr>
          <w:rFonts w:ascii="Calibri" w:cs="Calibri" w:eastAsia="Calibri" w:hAnsi="Calibri"/>
          <w:color w:val="1B2A2C"/>
          <w:sz w:val="21"/>
          <w:szCs w:val="21"/>
        </w:rPr>
        <w:t xml:space="preserve">L’article 3 précise la finalité : les sociétés communautaires visent à réaliser le développement régional, notamment au niveau des délégations, conformément à la volonté collective de la communauté et en fonction des besoins et des spécificités de sa région.</w:t>
      </w:r>
      <w:r>
        <w:rPr>
          <w:rStyle w:val="FootnoteReference"/>
        </w:rPr>
        <w:footnoteReference w:id="8"/>
      </w:r>
      <w:r>
        <w:rPr>
          <w:rFonts w:ascii="Calibri" w:cs="Calibri" w:eastAsia="Calibri" w:hAnsi="Calibri"/>
          <w:color w:val="1B2A2C"/>
          <w:sz w:val="21"/>
          <w:szCs w:val="21"/>
        </w:rPr>
        <w:t xml:space="preserve"> L’article 4 ajoute qu’elles exercent leur activité économique à partir de leur territoire d’implantation et qu’elles </w:t>
      </w:r>
      <w:r>
        <w:rPr>
          <w:rFonts w:ascii="Calibri" w:cs="Calibri" w:eastAsia="Calibri" w:hAnsi="Calibri"/>
          <w:b/>
          <w:bCs/>
          <w:color w:val="1B2A2C"/>
          <w:sz w:val="21"/>
          <w:szCs w:val="21"/>
        </w:rPr>
        <w:t xml:space="preserve">jouissent de la personnalité juridique</w:t>
      </w:r>
      <w:r>
        <w:rPr>
          <w:rFonts w:ascii="Calibri" w:cs="Calibri" w:eastAsia="Calibri" w:hAnsi="Calibri"/>
          <w:color w:val="1B2A2C"/>
          <w:sz w:val="21"/>
          <w:szCs w:val="21"/>
        </w:rPr>
        <w:t xml:space="preserve">.</w:t>
      </w:r>
      <w:r>
        <w:rPr>
          <w:rStyle w:val="FootnoteReference"/>
        </w:rPr>
        <w:footnoteReference w:id="9"/>
      </w:r>
    </w:p>
    <w:p>
      <w:pPr>
        <w:pStyle w:val="Heading2"/>
        <w:spacing w:after="100" w:before="240"/>
      </w:pPr>
      <w:r>
        <w:rPr>
          <w:rFonts w:ascii="Calibri" w:cs="Calibri" w:eastAsia="Calibri" w:hAnsi="Calibri"/>
          <w:b/>
          <w:bCs/>
          <w:color w:val="0C4E54"/>
          <w:sz w:val="25"/>
          <w:szCs w:val="25"/>
        </w:rPr>
        <w:t xml:space="preserve">2.2 Le socle de textes applicables</w:t>
      </w:r>
    </w:p>
    <w:p>
      <w:pPr>
        <w:spacing w:after="140" w:before="0" w:line="276"/>
        <w:jc w:val="both"/>
      </w:pPr>
      <w:r>
        <w:rPr>
          <w:rFonts w:ascii="Calibri" w:cs="Calibri" w:eastAsia="Calibri" w:hAnsi="Calibri"/>
          <w:color w:val="1B2A2C"/>
          <w:sz w:val="21"/>
          <w:szCs w:val="21"/>
        </w:rPr>
        <w:t xml:space="preserve">Le régime des sociétés communautaires repose sur un ensemble de textes qui se complètent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8"/>
        <w:gridCol w:w="2995"/>
        <w:gridCol w:w="3557"/>
      </w:tblGrid>
      <w:tr>
        <w:trPr>
          <w:cantSplit/>
          <w:tblHeader/>
        </w:trPr>
        <w:tc>
          <w:tcPr>
            <w:tcW w:type="dxa" w:w="2808"/>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Texte</w:t>
            </w:r>
          </w:p>
        </w:tc>
        <w:tc>
          <w:tcPr>
            <w:tcW w:type="dxa" w:w="2995"/>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Objet</w:t>
            </w:r>
          </w:p>
        </w:tc>
        <w:tc>
          <w:tcPr>
            <w:tcW w:type="dxa" w:w="3557"/>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Apport principal</w:t>
            </w:r>
          </w:p>
        </w:tc>
      </w:tr>
      <w:tr>
        <w:trPr>
          <w:cantSplit/>
        </w:trPr>
        <w:tc>
          <w:tcPr>
            <w:tcW w:type="dxa" w:w="280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Décret-loi n° 2022-15 du 20 mars 2022</w:t>
            </w:r>
          </w:p>
        </w:tc>
        <w:tc>
          <w:tcPr>
            <w:tcW w:type="dxa" w:w="2995"/>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Texte fondateur</w:t>
            </w:r>
          </w:p>
        </w:tc>
        <w:tc>
          <w:tcPr>
            <w:tcW w:type="dxa" w:w="3557"/>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Définition, catégories, règles de constitution, gouvernance et avantages fiscaux d’origine.</w:t>
            </w:r>
            <w:r>
              <w:rPr>
                <w:rStyle w:val="FootnoteReference"/>
              </w:rPr>
              <w:footnoteReference w:id="10"/>
            </w:r>
          </w:p>
        </w:tc>
      </w:tr>
      <w:tr>
        <w:trPr>
          <w:cantSplit/>
        </w:trPr>
        <w:tc>
          <w:tcPr>
            <w:tcW w:type="dxa" w:w="2808"/>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Décret présidentiel n° 2022-498 du 19 mai 2022</w:t>
            </w:r>
          </w:p>
        </w:tc>
        <w:tc>
          <w:tcPr>
            <w:tcW w:type="dxa" w:w="2995"/>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Statuts-types</w:t>
            </w:r>
          </w:p>
        </w:tc>
        <w:tc>
          <w:tcPr>
            <w:tcW w:type="dxa" w:w="3557"/>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Modèles de statuts pour les sociétés locales et régionales : organisation administrative, financière et mode de fonctionnement.</w:t>
            </w:r>
            <w:r>
              <w:rPr>
                <w:rStyle w:val="FootnoteReference"/>
              </w:rPr>
              <w:footnoteReference w:id="11"/>
            </w:r>
          </w:p>
        </w:tc>
      </w:tr>
      <w:tr>
        <w:trPr>
          <w:cantSplit/>
        </w:trPr>
        <w:tc>
          <w:tcPr>
            <w:tcW w:type="dxa" w:w="280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Loi de finances 2025 (art. 56)</w:t>
            </w:r>
          </w:p>
        </w:tc>
        <w:tc>
          <w:tcPr>
            <w:tcW w:type="dxa" w:w="2995"/>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Fiscalité</w:t>
            </w:r>
          </w:p>
        </w:tc>
        <w:tc>
          <w:tcPr>
            <w:tcW w:type="dxa" w:w="3557"/>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Suspension de la TVA sur les acquisitions et importations nécessaires à l’activité (art. 13 septies du code de la TVA).</w:t>
            </w:r>
            <w:r>
              <w:rPr>
                <w:rStyle w:val="FootnoteReference"/>
              </w:rPr>
              <w:footnoteReference w:id="12"/>
            </w:r>
          </w:p>
        </w:tc>
      </w:tr>
      <w:tr>
        <w:trPr>
          <w:cantSplit/>
        </w:trPr>
        <w:tc>
          <w:tcPr>
            <w:tcW w:type="dxa" w:w="2808"/>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Note commune n° 1/2025 (DGI)</w:t>
            </w:r>
          </w:p>
        </w:tc>
        <w:tc>
          <w:tcPr>
            <w:tcW w:type="dxa" w:w="2995"/>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Doctrine fiscale</w:t>
            </w:r>
          </w:p>
        </w:tc>
        <w:tc>
          <w:tcPr>
            <w:tcW w:type="dxa" w:w="3557"/>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Clarification administrative du régime fiscal applicable.</w:t>
            </w:r>
            <w:r>
              <w:rPr>
                <w:rStyle w:val="FootnoteReference"/>
              </w:rPr>
              <w:footnoteReference w:id="13"/>
            </w:r>
          </w:p>
        </w:tc>
      </w:tr>
      <w:tr>
        <w:trPr>
          <w:cantSplit/>
        </w:trPr>
        <w:tc>
          <w:tcPr>
            <w:tcW w:type="dxa" w:w="280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Décret-loi n° 2025-3 du 2 octobre 2025</w:t>
            </w:r>
          </w:p>
        </w:tc>
        <w:tc>
          <w:tcPr>
            <w:tcW w:type="dxa" w:w="2995"/>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Réforme</w:t>
            </w:r>
          </w:p>
        </w:tc>
        <w:tc>
          <w:tcPr>
            <w:tcW w:type="dxa" w:w="3557"/>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Abaissement des seuils, simplification, registre national, refonte de la gouvernance et des avantages.</w:t>
            </w:r>
            <w:r>
              <w:rPr>
                <w:rStyle w:val="FootnoteReference"/>
              </w:rPr>
              <w:footnoteReference w:id="14"/>
            </w:r>
          </w:p>
        </w:tc>
      </w:tr>
    </w:tbl>
    <w:p>
      <w:pPr>
        <w:pStyle w:val="Heading2"/>
        <w:spacing w:after="100" w:before="240"/>
      </w:pPr>
      <w:r>
        <w:rPr>
          <w:rFonts w:ascii="Calibri" w:cs="Calibri" w:eastAsia="Calibri" w:hAnsi="Calibri"/>
          <w:b/>
          <w:bCs/>
          <w:color w:val="0C4E54"/>
          <w:sz w:val="25"/>
          <w:szCs w:val="25"/>
        </w:rPr>
        <w:t xml:space="preserve">2.3 Les deux catégories de sociétés communautaires</w:t>
      </w:r>
    </w:p>
    <w:p>
      <w:pPr>
        <w:spacing w:after="140" w:before="0" w:line="276"/>
        <w:jc w:val="both"/>
      </w:pPr>
      <w:r>
        <w:rPr>
          <w:rFonts w:ascii="Calibri" w:cs="Calibri" w:eastAsia="Calibri" w:hAnsi="Calibri"/>
          <w:color w:val="1B2A2C"/>
          <w:sz w:val="21"/>
          <w:szCs w:val="21"/>
        </w:rPr>
        <w:t xml:space="preserve">L’article 7 du décret-loi de 2022 distingue deux catégories, dont les critères territoriaux ont été confirmés et ajustés par la réforme de 2025 :</w:t>
      </w:r>
      <w:r>
        <w:rPr>
          <w:rStyle w:val="FootnoteReference"/>
        </w:rPr>
        <w:footnoteReference w:id="15"/>
      </w:r>
      <w:r>
        <w:rPr>
          <w:rStyle w:val="FootnoteReference"/>
        </w:rPr>
        <w:footnoteReference w:id="16"/>
      </w:r>
    </w:p>
    <w:p>
      <w:pPr>
        <w:pStyle w:val="Heading3"/>
        <w:spacing w:after="80" w:before="180"/>
      </w:pPr>
      <w:r>
        <w:rPr>
          <w:rFonts w:ascii="Calibri" w:cs="Calibri" w:eastAsia="Calibri" w:hAnsi="Calibri"/>
          <w:b/>
          <w:bCs/>
          <w:color w:val="1B2A2C"/>
          <w:sz w:val="22"/>
          <w:szCs w:val="22"/>
        </w:rPr>
        <w:t xml:space="preserve">Société communautaire locale</w:t>
      </w:r>
    </w:p>
    <w:p>
      <w:pPr>
        <w:pStyle w:val="ListParagraph"/>
        <w:numPr>
          <w:ilvl w:val="0"/>
          <w:numId w:val="2"/>
        </w:numPr>
        <w:spacing w:after="70" w:line="268"/>
        <w:jc w:val="both"/>
      </w:pPr>
      <w:r>
        <w:rPr>
          <w:rFonts w:ascii="Calibri" w:cs="Calibri" w:eastAsia="Calibri" w:hAnsi="Calibri"/>
          <w:color w:val="1B2A2C"/>
          <w:sz w:val="21"/>
          <w:szCs w:val="21"/>
        </w:rPr>
        <w:t xml:space="preserve">Regroupe des participants résidant dans une </w:t>
      </w:r>
      <w:r>
        <w:rPr>
          <w:rFonts w:ascii="Calibri" w:cs="Calibri" w:eastAsia="Calibri" w:hAnsi="Calibri"/>
          <w:b/>
          <w:bCs/>
          <w:color w:val="1B2A2C"/>
          <w:sz w:val="21"/>
          <w:szCs w:val="21"/>
        </w:rPr>
        <w:t xml:space="preserve">même délégation</w:t>
      </w:r>
      <w:r>
        <w:rPr>
          <w:rFonts w:ascii="Calibri" w:cs="Calibri" w:eastAsia="Calibri" w:hAnsi="Calibri"/>
          <w:color w:val="1B2A2C"/>
          <w:sz w:val="21"/>
          <w:szCs w:val="21"/>
        </w:rPr>
        <w:t xml:space="preserve"> ;</w:t>
      </w:r>
    </w:p>
    <w:p>
      <w:pPr>
        <w:pStyle w:val="ListParagraph"/>
        <w:numPr>
          <w:ilvl w:val="0"/>
          <w:numId w:val="2"/>
        </w:numPr>
        <w:spacing w:after="70" w:line="268"/>
        <w:jc w:val="both"/>
      </w:pPr>
      <w:r>
        <w:rPr>
          <w:rFonts w:ascii="Calibri" w:cs="Calibri" w:eastAsia="Calibri" w:hAnsi="Calibri"/>
          <w:color w:val="1B2A2C"/>
          <w:sz w:val="21"/>
          <w:szCs w:val="21"/>
        </w:rPr>
        <w:t xml:space="preserve">Exerce son activité dans la limite de sa circonscription territoriale ;</w:t>
      </w:r>
    </w:p>
    <w:p>
      <w:pPr>
        <w:pStyle w:val="ListParagraph"/>
        <w:numPr>
          <w:ilvl w:val="0"/>
          <w:numId w:val="2"/>
        </w:numPr>
        <w:spacing w:after="70" w:line="268"/>
        <w:jc w:val="both"/>
      </w:pPr>
      <w:r>
        <w:rPr>
          <w:rFonts w:ascii="Calibri" w:cs="Calibri" w:eastAsia="Calibri" w:hAnsi="Calibri"/>
          <w:color w:val="1B2A2C"/>
          <w:sz w:val="21"/>
          <w:szCs w:val="21"/>
        </w:rPr>
        <w:t xml:space="preserve">Placée sous la supervision du </w:t>
      </w:r>
      <w:r>
        <w:rPr>
          <w:rFonts w:ascii="Calibri" w:cs="Calibri" w:eastAsia="Calibri" w:hAnsi="Calibri"/>
          <w:b/>
          <w:bCs/>
          <w:color w:val="1B2A2C"/>
          <w:sz w:val="21"/>
          <w:szCs w:val="21"/>
        </w:rPr>
        <w:t xml:space="preserve">gouverneur</w:t>
      </w:r>
      <w:r>
        <w:rPr>
          <w:rFonts w:ascii="Calibri" w:cs="Calibri" w:eastAsia="Calibri" w:hAnsi="Calibri"/>
          <w:color w:val="1B2A2C"/>
          <w:sz w:val="21"/>
          <w:szCs w:val="21"/>
        </w:rPr>
        <w:t xml:space="preserve"> de la région.</w:t>
      </w:r>
      <w:r>
        <w:rPr>
          <w:rStyle w:val="FootnoteReference"/>
        </w:rPr>
        <w:footnoteReference w:id="17"/>
      </w:r>
    </w:p>
    <w:p>
      <w:pPr>
        <w:pStyle w:val="Heading3"/>
        <w:spacing w:after="80" w:before="180"/>
      </w:pPr>
      <w:r>
        <w:rPr>
          <w:rFonts w:ascii="Calibri" w:cs="Calibri" w:eastAsia="Calibri" w:hAnsi="Calibri"/>
          <w:b/>
          <w:bCs/>
          <w:color w:val="1B2A2C"/>
          <w:sz w:val="22"/>
          <w:szCs w:val="22"/>
        </w:rPr>
        <w:t xml:space="preserve">Société communautaire régionale</w:t>
      </w:r>
    </w:p>
    <w:p>
      <w:pPr>
        <w:pStyle w:val="ListParagraph"/>
        <w:numPr>
          <w:ilvl w:val="0"/>
          <w:numId w:val="2"/>
        </w:numPr>
        <w:spacing w:after="70" w:line="268"/>
        <w:jc w:val="both"/>
      </w:pPr>
      <w:r>
        <w:rPr>
          <w:rFonts w:ascii="Calibri" w:cs="Calibri" w:eastAsia="Calibri" w:hAnsi="Calibri"/>
          <w:color w:val="1B2A2C"/>
          <w:sz w:val="21"/>
          <w:szCs w:val="21"/>
        </w:rPr>
        <w:t xml:space="preserve">Regroupe des participants résidant dans </w:t>
      </w:r>
      <w:r>
        <w:rPr>
          <w:rFonts w:ascii="Calibri" w:cs="Calibri" w:eastAsia="Calibri" w:hAnsi="Calibri"/>
          <w:b/>
          <w:bCs/>
          <w:color w:val="1B2A2C"/>
          <w:sz w:val="21"/>
          <w:szCs w:val="21"/>
        </w:rPr>
        <w:t xml:space="preserve">plusieurs délégations d’un même gouvernorat</w:t>
      </w:r>
      <w:r>
        <w:rPr>
          <w:rFonts w:ascii="Calibri" w:cs="Calibri" w:eastAsia="Calibri" w:hAnsi="Calibri"/>
          <w:color w:val="1B2A2C"/>
          <w:sz w:val="21"/>
          <w:szCs w:val="21"/>
        </w:rPr>
        <w:t xml:space="preserve"> ;</w:t>
      </w:r>
    </w:p>
    <w:p>
      <w:pPr>
        <w:pStyle w:val="ListParagraph"/>
        <w:numPr>
          <w:ilvl w:val="0"/>
          <w:numId w:val="2"/>
        </w:numPr>
        <w:spacing w:after="70" w:line="268"/>
        <w:jc w:val="both"/>
      </w:pPr>
      <w:r>
        <w:rPr>
          <w:rFonts w:ascii="Calibri" w:cs="Calibri" w:eastAsia="Calibri" w:hAnsi="Calibri"/>
          <w:color w:val="1B2A2C"/>
          <w:sz w:val="21"/>
          <w:szCs w:val="21"/>
        </w:rPr>
        <w:t xml:space="preserve">Opère à l’échelle du gouvernorat ;</w:t>
      </w:r>
    </w:p>
    <w:p>
      <w:pPr>
        <w:pStyle w:val="ListParagraph"/>
        <w:numPr>
          <w:ilvl w:val="0"/>
          <w:numId w:val="2"/>
        </w:numPr>
        <w:spacing w:after="70" w:line="268"/>
        <w:jc w:val="both"/>
      </w:pPr>
      <w:r>
        <w:rPr>
          <w:rFonts w:ascii="Calibri" w:cs="Calibri" w:eastAsia="Calibri" w:hAnsi="Calibri"/>
          <w:color w:val="1B2A2C"/>
          <w:sz w:val="21"/>
          <w:szCs w:val="21"/>
        </w:rPr>
        <w:t xml:space="preserve">Placée sous la supervision du </w:t>
      </w:r>
      <w:r>
        <w:rPr>
          <w:rFonts w:ascii="Calibri" w:cs="Calibri" w:eastAsia="Calibri" w:hAnsi="Calibri"/>
          <w:b/>
          <w:bCs/>
          <w:color w:val="1B2A2C"/>
          <w:sz w:val="21"/>
          <w:szCs w:val="21"/>
        </w:rPr>
        <w:t xml:space="preserve">ministre chargé de l’économie</w:t>
      </w:r>
      <w:r>
        <w:rPr>
          <w:rFonts w:ascii="Calibri" w:cs="Calibri" w:eastAsia="Calibri" w:hAnsi="Calibri"/>
          <w:color w:val="1B2A2C"/>
          <w:sz w:val="21"/>
          <w:szCs w:val="21"/>
        </w:rPr>
        <w:t xml:space="preserve">.</w:t>
      </w:r>
      <w:r>
        <w:rPr>
          <w:rStyle w:val="FootnoteReference"/>
        </w:rPr>
        <w:footnoteReference w:id="18"/>
      </w:r>
    </w:p>
    <w:p>
      <w:pPr>
        <w:spacing w:after="140" w:before="0" w:line="276"/>
        <w:jc w:val="both"/>
      </w:pPr>
      <w:r>
        <w:rPr>
          <w:rFonts w:ascii="Calibri" w:cs="Calibri" w:eastAsia="Calibri" w:hAnsi="Calibri"/>
          <w:color w:val="1B2A2C"/>
          <w:sz w:val="21"/>
          <w:szCs w:val="21"/>
        </w:rPr>
        <w:t xml:space="preserve">Une société communautaire locale peut détenir une participation dans une société régionale du même type lorsque leurs activités sont communes et complémentaires.</w:t>
      </w:r>
      <w:r>
        <w:rPr>
          <w:rStyle w:val="FootnoteReference"/>
        </w:rPr>
        <w:footnoteReference w:id="19"/>
      </w:r>
    </w:p>
    <w:p>
      <w:pPr>
        <w:pStyle w:val="Heading2"/>
        <w:spacing w:after="100" w:before="240"/>
      </w:pPr>
      <w:r>
        <w:rPr>
          <w:rFonts w:ascii="Calibri" w:cs="Calibri" w:eastAsia="Calibri" w:hAnsi="Calibri"/>
          <w:b/>
          <w:bCs/>
          <w:color w:val="0C4E54"/>
          <w:sz w:val="25"/>
          <w:szCs w:val="25"/>
        </w:rPr>
        <w:t xml:space="preserve">2.4 Personnalité morale et identité</w:t>
      </w:r>
    </w:p>
    <w:p>
      <w:pPr>
        <w:spacing w:after="140" w:before="0" w:line="276"/>
        <w:jc w:val="both"/>
      </w:pPr>
      <w:r>
        <w:rPr>
          <w:rFonts w:ascii="Calibri" w:cs="Calibri" w:eastAsia="Calibri" w:hAnsi="Calibri"/>
          <w:color w:val="1B2A2C"/>
          <w:sz w:val="21"/>
          <w:szCs w:val="21"/>
        </w:rPr>
        <w:t xml:space="preserve">Sous le régime initial, la société était régulièrement constituée et acquérait la personnalité morale à compter de sa publication au Registre national des entreprises (article 21).</w:t>
      </w:r>
      <w:r>
        <w:rPr>
          <w:rStyle w:val="FootnoteReference"/>
        </w:rPr>
        <w:footnoteReference w:id="20"/>
      </w:r>
      <w:r>
        <w:rPr>
          <w:rFonts w:ascii="Calibri" w:cs="Calibri" w:eastAsia="Calibri" w:hAnsi="Calibri"/>
          <w:color w:val="1B2A2C"/>
          <w:sz w:val="21"/>
          <w:szCs w:val="21"/>
        </w:rPr>
        <w:t xml:space="preserve"> La réforme de 2025 a institué un </w:t>
      </w:r>
      <w:r>
        <w:rPr>
          <w:rFonts w:ascii="Calibri" w:cs="Calibri" w:eastAsia="Calibri" w:hAnsi="Calibri"/>
          <w:b/>
          <w:bCs/>
          <w:color w:val="1B2A2C"/>
          <w:sz w:val="21"/>
          <w:szCs w:val="21"/>
        </w:rPr>
        <w:t xml:space="preserve">Registre national des sociétés communautaires</w:t>
      </w:r>
      <w:r>
        <w:rPr>
          <w:rFonts w:ascii="Calibri" w:cs="Calibri" w:eastAsia="Calibri" w:hAnsi="Calibri"/>
          <w:color w:val="1B2A2C"/>
          <w:sz w:val="21"/>
          <w:szCs w:val="21"/>
        </w:rPr>
        <w:t xml:space="preserve"> dédié, géré par le ministère chargé des sociétés communautaires et hébergé sur une plateforme électronique centralisant les données, inscriptions et mises à jour. Désormais, </w:t>
      </w:r>
      <w:r>
        <w:rPr>
          <w:rFonts w:ascii="Calibri" w:cs="Calibri" w:eastAsia="Calibri" w:hAnsi="Calibri"/>
          <w:b/>
          <w:bCs/>
          <w:color w:val="1B2A2C"/>
          <w:sz w:val="21"/>
          <w:szCs w:val="21"/>
        </w:rPr>
        <w:t xml:space="preserve">l’inscription à ce registre confère la personnalité morale et un identifiant unique</w:t>
      </w:r>
      <w:r>
        <w:rPr>
          <w:rFonts w:ascii="Calibri" w:cs="Calibri" w:eastAsia="Calibri" w:hAnsi="Calibri"/>
          <w:color w:val="1B2A2C"/>
          <w:sz w:val="21"/>
          <w:szCs w:val="21"/>
        </w:rPr>
        <w:t xml:space="preserve"> à chaque société.</w:t>
      </w:r>
      <w:r>
        <w:rPr>
          <w:rStyle w:val="FootnoteReference"/>
        </w:rPr>
        <w:footnoteReference w:id="21"/>
      </w:r>
    </w:p>
    <w:p>
      <w:pPr>
        <w:spacing w:after="140" w:before="0" w:line="276"/>
        <w:jc w:val="both"/>
      </w:pPr>
      <w:r>
        <w:rPr>
          <w:rFonts w:ascii="Calibri" w:cs="Calibri" w:eastAsia="Calibri" w:hAnsi="Calibri"/>
          <w:color w:val="1B2A2C"/>
          <w:sz w:val="21"/>
          <w:szCs w:val="21"/>
        </w:rPr>
        <w:t xml:space="preserve">Conformément à l’article 10 du décret-loi de 2022, tous les documents et annonces émanant de la société doivent indiquer la dénomination sociale suivie des mots « société communautaire » et du mot « locale » ou « régionale » selon le cas, ainsi que le numéro d’immatriculation.</w:t>
      </w:r>
      <w:r>
        <w:rPr>
          <w:rStyle w:val="FootnoteReference"/>
        </w:rPr>
        <w:footnoteReference w:id="22"/>
      </w:r>
    </w:p>
    <w:p>
      <w:pPr>
        <w:pStyle w:val="Heading2"/>
        <w:spacing w:after="100" w:before="240"/>
      </w:pPr>
      <w:r>
        <w:rPr>
          <w:rFonts w:ascii="Calibri" w:cs="Calibri" w:eastAsia="Calibri" w:hAnsi="Calibri"/>
          <w:b/>
          <w:bCs/>
          <w:color w:val="0C4E54"/>
          <w:sz w:val="25"/>
          <w:szCs w:val="25"/>
        </w:rPr>
        <w:t xml:space="preserve">2.5 Limites légales d’activité</w:t>
      </w:r>
    </w:p>
    <w:p>
      <w:pPr>
        <w:spacing w:after="140" w:before="0" w:line="276"/>
        <w:jc w:val="both"/>
      </w:pPr>
      <w:r>
        <w:rPr>
          <w:rFonts w:ascii="Calibri" w:cs="Calibri" w:eastAsia="Calibri" w:hAnsi="Calibri"/>
          <w:color w:val="1B2A2C"/>
          <w:sz w:val="21"/>
          <w:szCs w:val="21"/>
        </w:rPr>
        <w:t xml:space="preserve">L’article 9 du décret-loi pose des interdictions structurantes. Il est interdit aux sociétés communautaires :</w:t>
      </w:r>
      <w:r>
        <w:rPr>
          <w:rStyle w:val="FootnoteReference"/>
        </w:rPr>
        <w:footnoteReference w:id="23"/>
      </w:r>
    </w:p>
    <w:p>
      <w:pPr>
        <w:pStyle w:val="ListParagraph"/>
        <w:numPr>
          <w:ilvl w:val="0"/>
          <w:numId w:val="2"/>
        </w:numPr>
        <w:spacing w:after="70" w:line="268"/>
        <w:jc w:val="both"/>
      </w:pPr>
      <w:r>
        <w:rPr>
          <w:rFonts w:ascii="Calibri" w:cs="Calibri" w:eastAsia="Calibri" w:hAnsi="Calibri"/>
          <w:color w:val="1B2A2C"/>
          <w:sz w:val="21"/>
          <w:szCs w:val="21"/>
        </w:rPr>
        <w:t xml:space="preserve">d’exercer une activité politique, de s’engager dans des processus politiques ou de les financer ;</w:t>
      </w:r>
    </w:p>
    <w:p>
      <w:pPr>
        <w:pStyle w:val="ListParagraph"/>
        <w:numPr>
          <w:ilvl w:val="0"/>
          <w:numId w:val="2"/>
        </w:numPr>
        <w:spacing w:after="70" w:line="268"/>
        <w:jc w:val="both"/>
      </w:pPr>
      <w:r>
        <w:rPr>
          <w:rFonts w:ascii="Calibri" w:cs="Calibri" w:eastAsia="Calibri" w:hAnsi="Calibri"/>
          <w:color w:val="1B2A2C"/>
          <w:sz w:val="21"/>
          <w:szCs w:val="21"/>
        </w:rPr>
        <w:t xml:space="preserve">de s’adonner à des actions caritatives ;</w:t>
      </w:r>
    </w:p>
    <w:p>
      <w:pPr>
        <w:pStyle w:val="ListParagraph"/>
        <w:numPr>
          <w:ilvl w:val="0"/>
          <w:numId w:val="2"/>
        </w:numPr>
        <w:spacing w:after="70" w:line="268"/>
        <w:jc w:val="both"/>
      </w:pPr>
      <w:r>
        <w:rPr>
          <w:rFonts w:ascii="Calibri" w:cs="Calibri" w:eastAsia="Calibri" w:hAnsi="Calibri"/>
          <w:color w:val="1B2A2C"/>
          <w:sz w:val="21"/>
          <w:szCs w:val="21"/>
        </w:rPr>
        <w:t xml:space="preserve">de procéder à la collecte de dons à quelque titre que ce soit dans le cadre de l’activité — étant précisé que la réforme de 2025 autorise par ailleurs la société à </w:t>
      </w:r>
      <w:r>
        <w:rPr>
          <w:rFonts w:ascii="Calibri" w:cs="Calibri" w:eastAsia="Calibri" w:hAnsi="Calibri"/>
          <w:b/>
          <w:bCs/>
          <w:color w:val="1B2A2C"/>
          <w:sz w:val="21"/>
          <w:szCs w:val="21"/>
        </w:rPr>
        <w:t xml:space="preserve">accepter des dons et des legs</w:t>
      </w:r>
      <w:r>
        <w:rPr>
          <w:rFonts w:ascii="Calibri" w:cs="Calibri" w:eastAsia="Calibri" w:hAnsi="Calibri"/>
          <w:color w:val="1B2A2C"/>
          <w:sz w:val="21"/>
          <w:szCs w:val="21"/>
        </w:rPr>
        <w:t xml:space="preserve"> conformément à la législation en vigueur, ce qui relève d’un mécanisme distinct de la collecte caritative.</w:t>
      </w:r>
      <w:r>
        <w:rPr>
          <w:rStyle w:val="FootnoteReference"/>
        </w:rPr>
        <w:footnoteReference w:id="24"/>
      </w:r>
    </w:p>
    <w:p>
      <w:pPr>
        <w:spacing w:after="140" w:before="0" w:line="276"/>
        <w:jc w:val="both"/>
      </w:pPr>
      <w:r>
        <w:rPr>
          <w:rFonts w:ascii="Calibri" w:cs="Calibri" w:eastAsia="Calibri" w:hAnsi="Calibri"/>
          <w:color w:val="1B2A2C"/>
          <w:sz w:val="21"/>
          <w:szCs w:val="21"/>
        </w:rPr>
        <w:t xml:space="preserve">La responsabilité des participants est limitée au capital de la société et aux parts sociales de chacun (article 11) : il s’agit donc d’une responsabilité limitée, comparable à celle des associés d’une société de capitaux.</w:t>
      </w:r>
      <w:r>
        <w:rPr>
          <w:rStyle w:val="FootnoteReference"/>
        </w:rPr>
        <w:footnoteReference w:id="25"/>
      </w:r>
    </w:p>
    <w:p>
      <w:pPr>
        <w:pStyle w:val="Heading1"/>
        <w:pageBreakBefore/>
        <w:pBdr>
          <w:bottom w:val="single" w:color="01696F" w:sz="12" w:space="6"/>
        </w:pBdr>
        <w:spacing w:after="60" w:before="120"/>
      </w:pPr>
      <w:r>
        <w:rPr>
          <w:rFonts w:ascii="Calibri" w:cs="Calibri" w:eastAsia="Calibri" w:hAnsi="Calibri"/>
          <w:b/>
          <w:bCs/>
          <w:color w:val="0C4E54"/>
          <w:sz w:val="32"/>
          <w:szCs w:val="32"/>
        </w:rPr>
        <w:t xml:space="preserve">3. Conditions de participation, capital et financement</w:t>
      </w:r>
    </w:p>
    <w:p>
      <w:pPr>
        <w:pStyle w:val="Heading2"/>
        <w:spacing w:after="100" w:before="240"/>
      </w:pPr>
      <w:r>
        <w:rPr>
          <w:rFonts w:ascii="Calibri" w:cs="Calibri" w:eastAsia="Calibri" w:hAnsi="Calibri"/>
          <w:b/>
          <w:bCs/>
          <w:color w:val="0C4E54"/>
          <w:sz w:val="25"/>
          <w:szCs w:val="25"/>
        </w:rPr>
        <w:t xml:space="preserve">3.1 Qui peut participer</w:t>
      </w:r>
    </w:p>
    <w:p>
      <w:pPr>
        <w:spacing w:after="140" w:before="0" w:line="276"/>
        <w:jc w:val="both"/>
      </w:pPr>
      <w:r>
        <w:rPr>
          <w:rFonts w:ascii="Calibri" w:cs="Calibri" w:eastAsia="Calibri" w:hAnsi="Calibri"/>
          <w:color w:val="1B2A2C"/>
          <w:sz w:val="21"/>
          <w:szCs w:val="21"/>
        </w:rPr>
        <w:t xml:space="preserve">Les sociétés communautaires sont constituées par des personnes physiques. Pour pouvoir participer, une personne doit (articles 13 et 18 du décret-loi, complétés par la réforme) :</w:t>
      </w:r>
      <w:r>
        <w:rPr>
          <w:rStyle w:val="FootnoteReference"/>
        </w:rPr>
        <w:footnoteReference w:id="26"/>
      </w:r>
      <w:r>
        <w:rPr>
          <w:rStyle w:val="FootnoteReference"/>
        </w:rPr>
        <w:footnoteReference w:id="27"/>
      </w:r>
    </w:p>
    <w:p>
      <w:pPr>
        <w:pStyle w:val="ListParagraph"/>
        <w:numPr>
          <w:ilvl w:val="0"/>
          <w:numId w:val="2"/>
        </w:numPr>
        <w:spacing w:after="70" w:line="268"/>
        <w:jc w:val="both"/>
      </w:pPr>
      <w:r>
        <w:rPr>
          <w:rFonts w:ascii="Calibri" w:cs="Calibri" w:eastAsia="Calibri" w:hAnsi="Calibri"/>
          <w:color w:val="1B2A2C"/>
          <w:sz w:val="21"/>
          <w:szCs w:val="21"/>
        </w:rPr>
        <w:t xml:space="preserve">avoir la </w:t>
      </w:r>
      <w:r>
        <w:rPr>
          <w:rFonts w:ascii="Calibri" w:cs="Calibri" w:eastAsia="Calibri" w:hAnsi="Calibri"/>
          <w:b/>
          <w:bCs/>
          <w:color w:val="1B2A2C"/>
          <w:sz w:val="21"/>
          <w:szCs w:val="21"/>
        </w:rPr>
        <w:t xml:space="preserve">qualité d’électeur aux élections locales</w:t>
      </w:r>
      <w:r>
        <w:rPr>
          <w:rFonts w:ascii="Calibri" w:cs="Calibri" w:eastAsia="Calibri" w:hAnsi="Calibri"/>
          <w:color w:val="1B2A2C"/>
          <w:sz w:val="21"/>
          <w:szCs w:val="21"/>
        </w:rPr>
        <w:t xml:space="preserve"> (municipales) ;</w:t>
      </w:r>
    </w:p>
    <w:p>
      <w:pPr>
        <w:pStyle w:val="ListParagraph"/>
        <w:numPr>
          <w:ilvl w:val="0"/>
          <w:numId w:val="2"/>
        </w:numPr>
        <w:spacing w:after="70" w:line="268"/>
        <w:jc w:val="both"/>
      </w:pPr>
      <w:r>
        <w:rPr>
          <w:rFonts w:ascii="Calibri" w:cs="Calibri" w:eastAsia="Calibri" w:hAnsi="Calibri"/>
          <w:color w:val="1B2A2C"/>
          <w:sz w:val="21"/>
          <w:szCs w:val="21"/>
        </w:rPr>
        <w:t xml:space="preserve">être </w:t>
      </w:r>
      <w:r>
        <w:rPr>
          <w:rFonts w:ascii="Calibri" w:cs="Calibri" w:eastAsia="Calibri" w:hAnsi="Calibri"/>
          <w:b/>
          <w:bCs/>
          <w:color w:val="1B2A2C"/>
          <w:sz w:val="21"/>
          <w:szCs w:val="21"/>
        </w:rPr>
        <w:t xml:space="preserve">résidente</w:t>
      </w:r>
      <w:r>
        <w:rPr>
          <w:rFonts w:ascii="Calibri" w:cs="Calibri" w:eastAsia="Calibri" w:hAnsi="Calibri"/>
          <w:color w:val="1B2A2C"/>
          <w:sz w:val="21"/>
          <w:szCs w:val="21"/>
        </w:rPr>
        <w:t xml:space="preserve"> dans la délégation d’implantation pour une société locale, ou dans l’un des gouvernorats concernés pour une société régionale ;</w:t>
      </w:r>
    </w:p>
    <w:p>
      <w:pPr>
        <w:pStyle w:val="ListParagraph"/>
        <w:numPr>
          <w:ilvl w:val="0"/>
          <w:numId w:val="2"/>
        </w:numPr>
        <w:spacing w:after="70" w:line="268"/>
        <w:jc w:val="both"/>
      </w:pPr>
      <w:r>
        <w:rPr>
          <w:rFonts w:ascii="Calibri" w:cs="Calibri" w:eastAsia="Calibri" w:hAnsi="Calibri"/>
          <w:b/>
          <w:bCs/>
          <w:color w:val="1B2A2C"/>
          <w:sz w:val="21"/>
          <w:szCs w:val="21"/>
        </w:rPr>
        <w:t xml:space="preserve">ne pas exercer une activité concurrente</w:t>
      </w:r>
      <w:r>
        <w:rPr>
          <w:rFonts w:ascii="Calibri" w:cs="Calibri" w:eastAsia="Calibri" w:hAnsi="Calibri"/>
          <w:color w:val="1B2A2C"/>
          <w:sz w:val="21"/>
          <w:szCs w:val="21"/>
        </w:rPr>
        <w:t xml:space="preserve"> à l’activité ou aux objectifs de la société communautaire.</w:t>
      </w:r>
    </w:p>
    <w:p>
      <w:pPr>
        <w:spacing w:after="140" w:before="0" w:line="276"/>
        <w:jc w:val="both"/>
      </w:pPr>
      <w:r>
        <w:rPr>
          <w:rFonts w:ascii="Calibri" w:cs="Calibri" w:eastAsia="Calibri" w:hAnsi="Calibri"/>
          <w:color w:val="1B2A2C"/>
          <w:sz w:val="21"/>
          <w:szCs w:val="21"/>
        </w:rPr>
        <w:t xml:space="preserve">Une même personne peut cumuler les qualités de </w:t>
      </w:r>
      <w:r>
        <w:rPr>
          <w:rFonts w:ascii="Calibri" w:cs="Calibri" w:eastAsia="Calibri" w:hAnsi="Calibri"/>
          <w:b/>
          <w:bCs/>
          <w:color w:val="1B2A2C"/>
          <w:sz w:val="21"/>
          <w:szCs w:val="21"/>
        </w:rPr>
        <w:t xml:space="preserve">participant et de salarié</w:t>
      </w:r>
      <w:r>
        <w:rPr>
          <w:rFonts w:ascii="Calibri" w:cs="Calibri" w:eastAsia="Calibri" w:hAnsi="Calibri"/>
          <w:color w:val="1B2A2C"/>
          <w:sz w:val="21"/>
          <w:szCs w:val="21"/>
        </w:rPr>
        <w:t xml:space="preserve"> au sein de la société communautaire (article 13).</w:t>
      </w:r>
      <w:r>
        <w:rPr>
          <w:rStyle w:val="FootnoteReference"/>
        </w:rPr>
        <w:footnoteReference w:id="28"/>
      </w:r>
      <w:r>
        <w:rPr>
          <w:rFonts w:ascii="Calibri" w:cs="Calibri" w:eastAsia="Calibri" w:hAnsi="Calibri"/>
          <w:color w:val="1B2A2C"/>
          <w:sz w:val="21"/>
          <w:szCs w:val="21"/>
        </w:rPr>
        <w:t xml:space="preserve"> La participation prend fin lorsque le participant cesse de satisfaire aux conditions d’agrément, ou en cas de manquement aux principes fondamentaux de l’activité de la société et à ses modes de gestion.</w:t>
      </w:r>
      <w:r>
        <w:rPr>
          <w:rStyle w:val="FootnoteReference"/>
        </w:rPr>
        <w:footnoteReference w:id="29"/>
      </w:r>
    </w:p>
    <w:p>
      <w:pPr>
        <w:pStyle w:val="Heading2"/>
        <w:spacing w:after="100" w:before="240"/>
      </w:pPr>
      <w:r>
        <w:rPr>
          <w:rFonts w:ascii="Calibri" w:cs="Calibri" w:eastAsia="Calibri" w:hAnsi="Calibri"/>
          <w:b/>
          <w:bCs/>
          <w:color w:val="0C4E54"/>
          <w:sz w:val="25"/>
          <w:szCs w:val="25"/>
        </w:rPr>
        <w:t xml:space="preserve">3.2 Nombre minimum de participants : la rupture de 2025</w:t>
      </w:r>
    </w:p>
    <w:p>
      <w:pPr>
        <w:spacing w:after="140" w:before="0" w:line="276"/>
        <w:jc w:val="both"/>
      </w:pPr>
      <w:r>
        <w:rPr>
          <w:rFonts w:ascii="Calibri" w:cs="Calibri" w:eastAsia="Calibri" w:hAnsi="Calibri"/>
          <w:color w:val="1B2A2C"/>
          <w:sz w:val="21"/>
          <w:szCs w:val="21"/>
        </w:rPr>
        <w:t xml:space="preserve">C’est l’un des changements les plus significatifs de la réforme. Le régime initial exigeait un seuil élevé, fréquemment critiqué comme un frein à la création ; la réforme l’a fortement abaissé.</w:t>
      </w:r>
      <w:r>
        <w:rPr>
          <w:rStyle w:val="FootnoteReference"/>
        </w:rPr>
        <w:footnoteReference w:id="30"/>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82"/>
        <w:gridCol w:w="3089"/>
        <w:gridCol w:w="3089"/>
      </w:tblGrid>
      <w:tr>
        <w:trPr>
          <w:cantSplit/>
          <w:tblHeader/>
        </w:trPr>
        <w:tc>
          <w:tcPr>
            <w:tcW w:type="dxa" w:w="3182"/>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Critère</w:t>
            </w:r>
          </w:p>
        </w:tc>
        <w:tc>
          <w:tcPr>
            <w:tcW w:type="dxa" w:w="3089"/>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Régime initial (2022)</w:t>
            </w:r>
          </w:p>
        </w:tc>
        <w:tc>
          <w:tcPr>
            <w:tcW w:type="dxa" w:w="3089"/>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Régime en vigueur (2025)</w:t>
            </w:r>
          </w:p>
        </w:tc>
      </w:tr>
      <w:tr>
        <w:trPr>
          <w:cantSplit/>
        </w:trPr>
        <w:tc>
          <w:tcPr>
            <w:tcW w:type="dxa" w:w="3182"/>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Société locale — participants minimum</w:t>
            </w:r>
          </w:p>
        </w:tc>
        <w:tc>
          <w:tcPr>
            <w:tcW w:type="dxa" w:w="308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50 personnes</w:t>
            </w:r>
          </w:p>
        </w:tc>
        <w:tc>
          <w:tcPr>
            <w:tcW w:type="dxa" w:w="308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10 personnes</w:t>
            </w:r>
          </w:p>
        </w:tc>
      </w:tr>
      <w:tr>
        <w:trPr>
          <w:cantSplit/>
        </w:trPr>
        <w:tc>
          <w:tcPr>
            <w:tcW w:type="dxa" w:w="3182"/>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Société régionale — participants minimum</w:t>
            </w:r>
          </w:p>
        </w:tc>
        <w:tc>
          <w:tcPr>
            <w:tcW w:type="dxa" w:w="3089"/>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50 personnes</w:t>
            </w:r>
          </w:p>
        </w:tc>
        <w:tc>
          <w:tcPr>
            <w:tcW w:type="dxa" w:w="3089"/>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15 personnes</w:t>
            </w:r>
          </w:p>
        </w:tc>
      </w:tr>
      <w:tr>
        <w:trPr>
          <w:cantSplit/>
        </w:trPr>
        <w:tc>
          <w:tcPr>
            <w:tcW w:type="dxa" w:w="3182"/>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Qualité requise</w:t>
            </w:r>
          </w:p>
        </w:tc>
        <w:tc>
          <w:tcPr>
            <w:tcW w:type="dxa" w:w="308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Électeur aux élections municipales</w:t>
            </w:r>
          </w:p>
        </w:tc>
        <w:tc>
          <w:tcPr>
            <w:tcW w:type="dxa" w:w="308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Électeur aux élections locales</w:t>
            </w:r>
          </w:p>
        </w:tc>
      </w:tr>
    </w:tbl>
    <w:tbl>
      <w:tblPr>
        <w:tblW w:type="dxa" w:w="9360"/>
        <w:tblBorders>
          <w:top w:val="single" w:color="EAF1F1" w:sz="1"/>
          <w:left w:val="single" w:color="01696F" w:sz="24"/>
          <w:bottom w:val="single" w:color="EAF1F1" w:sz="1"/>
          <w:right w:val="single" w:color="EAF1F1" w:sz="1"/>
          <w:insideH w:val="none"/>
          <w:insideV w:val="none"/>
        </w:tblBorders>
      </w:tblPr>
      <w:tblGrid>
        <w:gridCol w:w="9360"/>
      </w:tblGrid>
      <w:tr>
        <w:tc>
          <w:tcPr>
            <w:tcW w:type="dxa" w:w="9360"/>
            <w:shd w:fill="EAF1F1" w:color="auto" w:val="clear"/>
            <w:tcMar>
              <w:top w:type="dxa" w:w="120"/>
              <w:left w:type="dxa" w:w="200"/>
              <w:bottom w:type="dxa" w:w="120"/>
              <w:right w:type="dxa" w:w="160"/>
            </w:tcMar>
          </w:tcPr>
          <w:p>
            <w:pPr>
              <w:spacing w:after="60"/>
            </w:pPr>
            <w:r>
              <w:rPr>
                <w:rFonts w:ascii="Calibri" w:cs="Calibri" w:eastAsia="Calibri" w:hAnsi="Calibri"/>
                <w:b/>
                <w:bCs/>
                <w:color w:val="0C4E54"/>
                <w:sz w:val="21"/>
                <w:szCs w:val="21"/>
              </w:rPr>
              <w:t xml:space="preserve">Point d’attention</w:t>
            </w:r>
          </w:p>
          <w:p>
            <w:pPr>
              <w:spacing w:after="0" w:line="264"/>
              <w:jc w:val="both"/>
            </w:pPr>
            <w:r>
              <w:rPr>
                <w:rFonts w:ascii="Calibri" w:cs="Calibri" w:eastAsia="Calibri" w:hAnsi="Calibri"/>
                <w:color w:val="1B2A2C"/>
                <w:sz w:val="20"/>
                <w:szCs w:val="20"/>
              </w:rPr>
              <w:t xml:space="preserve">Le seuil de 50 participants que l’on rencontre encore dans de nombreuses publications et brochures bancaires correspond au </w:t>
            </w:r>
            <w:r>
              <w:rPr>
                <w:rFonts w:ascii="Calibri" w:cs="Calibri" w:eastAsia="Calibri" w:hAnsi="Calibri"/>
                <w:b/>
                <w:bCs/>
                <w:color w:val="1B2A2C"/>
                <w:sz w:val="20"/>
                <w:szCs w:val="20"/>
              </w:rPr>
              <w:t xml:space="preserve">régime de 2022</w:t>
            </w:r>
            <w:r>
              <w:rPr>
                <w:rFonts w:ascii="Calibri" w:cs="Calibri" w:eastAsia="Calibri" w:hAnsi="Calibri"/>
                <w:color w:val="1B2A2C"/>
                <w:sz w:val="20"/>
                <w:szCs w:val="20"/>
              </w:rPr>
              <w:t xml:space="preserve">.</w:t>
            </w:r>
            <w:r>
              <w:rPr>
                <w:rStyle w:val="FootnoteReference"/>
              </w:rPr>
              <w:footnoteReference w:id="31"/>
            </w:r>
            <w:r>
              <w:rPr>
                <w:rStyle w:val="FootnoteReference"/>
              </w:rPr>
              <w:footnoteReference w:id="32"/>
            </w:r>
            <w:r>
              <w:rPr>
                <w:rFonts w:ascii="Calibri" w:cs="Calibri" w:eastAsia="Calibri" w:hAnsi="Calibri"/>
                <w:color w:val="1B2A2C"/>
                <w:sz w:val="20"/>
                <w:szCs w:val="20"/>
              </w:rPr>
              <w:t xml:space="preserve"> Depuis octobre 2025, les seuils en vigueur sont de </w:t>
            </w:r>
            <w:r>
              <w:rPr>
                <w:rFonts w:ascii="Calibri" w:cs="Calibri" w:eastAsia="Calibri" w:hAnsi="Calibri"/>
                <w:b/>
                <w:bCs/>
                <w:color w:val="1B2A2C"/>
                <w:sz w:val="20"/>
                <w:szCs w:val="20"/>
              </w:rPr>
              <w:t xml:space="preserve">10 participants</w:t>
            </w:r>
            <w:r>
              <w:rPr>
                <w:rFonts w:ascii="Calibri" w:cs="Calibri" w:eastAsia="Calibri" w:hAnsi="Calibri"/>
                <w:color w:val="1B2A2C"/>
                <w:sz w:val="20"/>
                <w:szCs w:val="20"/>
              </w:rPr>
              <w:t xml:space="preserve"> (local) et </w:t>
            </w:r>
            <w:r>
              <w:rPr>
                <w:rFonts w:ascii="Calibri" w:cs="Calibri" w:eastAsia="Calibri" w:hAnsi="Calibri"/>
                <w:b/>
                <w:bCs/>
                <w:color w:val="1B2A2C"/>
                <w:sz w:val="20"/>
                <w:szCs w:val="20"/>
              </w:rPr>
              <w:t xml:space="preserve">15 participants</w:t>
            </w:r>
            <w:r>
              <w:rPr>
                <w:rFonts w:ascii="Calibri" w:cs="Calibri" w:eastAsia="Calibri" w:hAnsi="Calibri"/>
                <w:color w:val="1B2A2C"/>
                <w:sz w:val="20"/>
                <w:szCs w:val="20"/>
              </w:rPr>
              <w:t xml:space="preserve"> (régional).</w:t>
            </w:r>
            <w:r>
              <w:rPr>
                <w:rStyle w:val="FootnoteReference"/>
              </w:rPr>
              <w:footnoteReference w:id="33"/>
            </w:r>
          </w:p>
        </w:tc>
      </w:tr>
    </w:tbl>
    <w:p>
      <w:pPr>
        <w:pStyle w:val="Heading2"/>
        <w:spacing w:after="100" w:before="240"/>
      </w:pPr>
      <w:r>
        <w:rPr>
          <w:rFonts w:ascii="Calibri" w:cs="Calibri" w:eastAsia="Calibri" w:hAnsi="Calibri"/>
          <w:b/>
          <w:bCs/>
          <w:color w:val="0C4E54"/>
          <w:sz w:val="25"/>
          <w:szCs w:val="25"/>
        </w:rPr>
        <w:t xml:space="preserve">3.3 Capital social</w:t>
      </w:r>
    </w:p>
    <w:p>
      <w:pPr>
        <w:spacing w:after="140" w:before="0" w:line="276"/>
        <w:jc w:val="both"/>
      </w:pPr>
      <w:r>
        <w:rPr>
          <w:rFonts w:ascii="Calibri" w:cs="Calibri" w:eastAsia="Calibri" w:hAnsi="Calibri"/>
          <w:color w:val="1B2A2C"/>
          <w:sz w:val="21"/>
          <w:szCs w:val="21"/>
        </w:rPr>
        <w:t xml:space="preserve">Le capital est lui aussi un paramètre revu à la baisse par la réforme de 2025, afin de faciliter le démarrage des projets.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82"/>
        <w:gridCol w:w="3089"/>
        <w:gridCol w:w="3089"/>
      </w:tblGrid>
      <w:tr>
        <w:trPr>
          <w:cantSplit/>
          <w:tblHeader/>
        </w:trPr>
        <w:tc>
          <w:tcPr>
            <w:tcW w:type="dxa" w:w="3182"/>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Critère</w:t>
            </w:r>
          </w:p>
        </w:tc>
        <w:tc>
          <w:tcPr>
            <w:tcW w:type="dxa" w:w="3089"/>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Régime initial (2022)</w:t>
            </w:r>
          </w:p>
        </w:tc>
        <w:tc>
          <w:tcPr>
            <w:tcW w:type="dxa" w:w="3089"/>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Régime en vigueur (2025)</w:t>
            </w:r>
          </w:p>
        </w:tc>
      </w:tr>
      <w:tr>
        <w:trPr>
          <w:cantSplit/>
        </w:trPr>
        <w:tc>
          <w:tcPr>
            <w:tcW w:type="dxa" w:w="3182"/>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Capital minimum — société locale</w:t>
            </w:r>
          </w:p>
        </w:tc>
        <w:tc>
          <w:tcPr>
            <w:tcW w:type="dxa" w:w="308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10 000 dinars</w:t>
            </w:r>
          </w:p>
        </w:tc>
        <w:tc>
          <w:tcPr>
            <w:tcW w:type="dxa" w:w="308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5 000 dinars</w:t>
            </w:r>
          </w:p>
        </w:tc>
      </w:tr>
      <w:tr>
        <w:trPr>
          <w:cantSplit/>
        </w:trPr>
        <w:tc>
          <w:tcPr>
            <w:tcW w:type="dxa" w:w="3182"/>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Capital minimum — société régionale</w:t>
            </w:r>
          </w:p>
        </w:tc>
        <w:tc>
          <w:tcPr>
            <w:tcW w:type="dxa" w:w="3089"/>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20 000 dinars</w:t>
            </w:r>
          </w:p>
        </w:tc>
        <w:tc>
          <w:tcPr>
            <w:tcW w:type="dxa" w:w="3089"/>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10 000 dinars</w:t>
            </w:r>
          </w:p>
        </w:tc>
      </w:tr>
      <w:tr>
        <w:trPr>
          <w:cantSplit/>
        </w:trPr>
        <w:tc>
          <w:tcPr>
            <w:tcW w:type="dxa" w:w="3182"/>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Libération du capital</w:t>
            </w:r>
          </w:p>
        </w:tc>
        <w:tc>
          <w:tcPr>
            <w:tcW w:type="dxa" w:w="308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Intégrale avant immatriculation</w:t>
            </w:r>
          </w:p>
        </w:tc>
        <w:tc>
          <w:tcPr>
            <w:tcW w:type="dxa" w:w="308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Intégrale avant immatriculation</w:t>
            </w:r>
          </w:p>
        </w:tc>
      </w:tr>
    </w:tbl>
    <w:p>
      <w:pPr>
        <w:spacing w:after="140" w:before="0" w:line="276"/>
        <w:jc w:val="both"/>
      </w:pPr>
      <w:r>
        <w:rPr>
          <w:rFonts w:ascii="Calibri" w:cs="Calibri" w:eastAsia="Calibri" w:hAnsi="Calibri"/>
          <w:color w:val="1B2A2C"/>
          <w:sz w:val="21"/>
          <w:szCs w:val="21"/>
        </w:rPr>
        <w:t xml:space="preserve">Le capital est constitué de </w:t>
      </w:r>
      <w:r>
        <w:rPr>
          <w:rFonts w:ascii="Calibri" w:cs="Calibri" w:eastAsia="Calibri" w:hAnsi="Calibri"/>
          <w:b/>
          <w:bCs/>
          <w:color w:val="1B2A2C"/>
          <w:sz w:val="21"/>
          <w:szCs w:val="21"/>
        </w:rPr>
        <w:t xml:space="preserve">parts sociales nominatives et indivisibles</w:t>
      </w:r>
      <w:r>
        <w:rPr>
          <w:rFonts w:ascii="Calibri" w:cs="Calibri" w:eastAsia="Calibri" w:hAnsi="Calibri"/>
          <w:color w:val="1B2A2C"/>
          <w:sz w:val="21"/>
          <w:szCs w:val="21"/>
        </w:rPr>
        <w:t xml:space="preserve"> au titre de chaque participant. Il peut également intégrer la contribution de l’État ou des collectivités locales — notamment dans le cadre de l’utilisation des recettes de la réconciliation pénale — ainsi que des apports en nature de l’État et des collectivités.</w:t>
      </w:r>
      <w:r>
        <w:rPr>
          <w:rStyle w:val="FootnoteReference"/>
        </w:rPr>
        <w:footnoteReference w:id="34"/>
      </w:r>
      <w:r>
        <w:rPr>
          <w:rFonts w:ascii="Calibri" w:cs="Calibri" w:eastAsia="Calibri" w:hAnsi="Calibri"/>
          <w:color w:val="1B2A2C"/>
          <w:sz w:val="21"/>
          <w:szCs w:val="21"/>
        </w:rPr>
        <w:t xml:space="preserve"> Le capital doit être </w:t>
      </w:r>
      <w:r>
        <w:rPr>
          <w:rFonts w:ascii="Calibri" w:cs="Calibri" w:eastAsia="Calibri" w:hAnsi="Calibri"/>
          <w:b/>
          <w:bCs/>
          <w:color w:val="1B2A2C"/>
          <w:sz w:val="21"/>
          <w:szCs w:val="21"/>
        </w:rPr>
        <w:t xml:space="preserve">intégralement libéré</w:t>
      </w:r>
      <w:r>
        <w:rPr>
          <w:rFonts w:ascii="Calibri" w:cs="Calibri" w:eastAsia="Calibri" w:hAnsi="Calibri"/>
          <w:color w:val="1B2A2C"/>
          <w:sz w:val="21"/>
          <w:szCs w:val="21"/>
        </w:rPr>
        <w:t xml:space="preserve"> par les participants avant le dépôt au registre (article 20).</w:t>
      </w:r>
      <w:r>
        <w:rPr>
          <w:rStyle w:val="FootnoteReference"/>
        </w:rPr>
        <w:footnoteReference w:id="35"/>
      </w:r>
    </w:p>
    <w:p>
      <w:pPr>
        <w:spacing w:after="140" w:before="0" w:line="276"/>
        <w:jc w:val="both"/>
      </w:pPr>
      <w:r>
        <w:rPr>
          <w:rFonts w:ascii="Calibri" w:cs="Calibri" w:eastAsia="Calibri" w:hAnsi="Calibri"/>
          <w:color w:val="1B2A2C"/>
          <w:sz w:val="21"/>
          <w:szCs w:val="21"/>
        </w:rPr>
        <w:t xml:space="preserve">Les sociétés communautaires régionales peuvent en outre émettre des </w:t>
      </w:r>
      <w:r>
        <w:rPr>
          <w:rFonts w:ascii="Calibri" w:cs="Calibri" w:eastAsia="Calibri" w:hAnsi="Calibri"/>
          <w:b/>
          <w:bCs/>
          <w:color w:val="1B2A2C"/>
          <w:sz w:val="21"/>
          <w:szCs w:val="21"/>
        </w:rPr>
        <w:t xml:space="preserve">parts sociales facultatives</w:t>
      </w:r>
      <w:r>
        <w:rPr>
          <w:rFonts w:ascii="Calibri" w:cs="Calibri" w:eastAsia="Calibri" w:hAnsi="Calibri"/>
          <w:color w:val="1B2A2C"/>
          <w:sz w:val="21"/>
          <w:szCs w:val="21"/>
        </w:rPr>
        <w:t xml:space="preserve"> ouvrant droit à un intérêt en cas de réalisation de bénéfices, dont le taux peut être égal au taux d’intérêt légal sur le marché financier.</w:t>
      </w:r>
      <w:r>
        <w:rPr>
          <w:rStyle w:val="FootnoteReference"/>
        </w:rPr>
        <w:footnoteReference w:id="36"/>
      </w:r>
      <w:r>
        <w:rPr>
          <w:rFonts w:ascii="Calibri" w:cs="Calibri" w:eastAsia="Calibri" w:hAnsi="Calibri"/>
          <w:color w:val="1B2A2C"/>
          <w:sz w:val="21"/>
          <w:szCs w:val="21"/>
        </w:rPr>
        <w:t xml:space="preserve"> Depuis la réforme, la société peut aussi accepter des dons et des legs conformément à la législation.</w:t>
      </w:r>
      <w:r>
        <w:rPr>
          <w:rStyle w:val="FootnoteReference"/>
        </w:rPr>
        <w:footnoteReference w:id="37"/>
      </w:r>
    </w:p>
    <w:p>
      <w:pPr>
        <w:pStyle w:val="Heading2"/>
        <w:spacing w:after="100" w:before="240"/>
      </w:pPr>
      <w:r>
        <w:rPr>
          <w:rFonts w:ascii="Calibri" w:cs="Calibri" w:eastAsia="Calibri" w:hAnsi="Calibri"/>
          <w:b/>
          <w:bCs/>
          <w:color w:val="0C4E54"/>
          <w:sz w:val="25"/>
          <w:szCs w:val="25"/>
        </w:rPr>
        <w:t xml:space="preserve">3.4 Sources de financement</w:t>
      </w:r>
    </w:p>
    <w:p>
      <w:pPr>
        <w:spacing w:after="140" w:before="0" w:line="276"/>
        <w:jc w:val="both"/>
      </w:pPr>
      <w:r>
        <w:rPr>
          <w:rFonts w:ascii="Calibri" w:cs="Calibri" w:eastAsia="Calibri" w:hAnsi="Calibri"/>
          <w:color w:val="1B2A2C"/>
          <w:sz w:val="21"/>
          <w:szCs w:val="21"/>
        </w:rPr>
        <w:t xml:space="preserve">Au-delà des apports des participants, plusieurs dispositifs publics et bancaires soutiennent le financement des sociétés communautaires :</w:t>
      </w:r>
    </w:p>
    <w:p>
      <w:pPr>
        <w:pStyle w:val="ListParagraph"/>
        <w:numPr>
          <w:ilvl w:val="0"/>
          <w:numId w:val="2"/>
        </w:numPr>
        <w:spacing w:after="70" w:line="268"/>
        <w:jc w:val="both"/>
      </w:pPr>
      <w:r>
        <w:rPr>
          <w:rFonts w:ascii="Calibri" w:cs="Calibri" w:eastAsia="Calibri" w:hAnsi="Calibri"/>
          <w:b/>
          <w:bCs/>
          <w:color w:val="1B2A2C"/>
          <w:sz w:val="21"/>
          <w:szCs w:val="21"/>
        </w:rPr>
        <w:t xml:space="preserve">Fonds national de l’emploi</w:t>
      </w:r>
      <w:r>
        <w:rPr>
          <w:rFonts w:ascii="Calibri" w:cs="Calibri" w:eastAsia="Calibri" w:hAnsi="Calibri"/>
          <w:color w:val="1B2A2C"/>
          <w:sz w:val="21"/>
          <w:szCs w:val="21"/>
        </w:rPr>
        <w:t xml:space="preserve"> : une ligne de financement dédiée a été dotée (20 millions de dinars en 2025), complétée par une dotation au Fonds national de garantie pour garantir les crédits accordés.</w:t>
      </w:r>
      <w:r>
        <w:rPr>
          <w:rStyle w:val="FootnoteReference"/>
        </w:rPr>
        <w:footnoteReference w:id="38"/>
      </w:r>
      <w:r>
        <w:rPr>
          <w:rStyle w:val="FootnoteReference"/>
        </w:rPr>
        <w:footnoteReference w:id="39"/>
      </w:r>
    </w:p>
    <w:p>
      <w:pPr>
        <w:pStyle w:val="ListParagraph"/>
        <w:numPr>
          <w:ilvl w:val="0"/>
          <w:numId w:val="2"/>
        </w:numPr>
        <w:spacing w:after="70" w:line="268"/>
        <w:jc w:val="both"/>
      </w:pPr>
      <w:r>
        <w:rPr>
          <w:rFonts w:ascii="Calibri" w:cs="Calibri" w:eastAsia="Calibri" w:hAnsi="Calibri"/>
          <w:b/>
          <w:bCs/>
          <w:color w:val="1B2A2C"/>
          <w:sz w:val="21"/>
          <w:szCs w:val="21"/>
        </w:rPr>
        <w:t xml:space="preserve">Banques publiques et privées</w:t>
      </w:r>
      <w:r>
        <w:rPr>
          <w:rFonts w:ascii="Calibri" w:cs="Calibri" w:eastAsia="Calibri" w:hAnsi="Calibri"/>
          <w:color w:val="1B2A2C"/>
          <w:sz w:val="21"/>
          <w:szCs w:val="21"/>
        </w:rPr>
        <w:t xml:space="preserve"> : la Banque tunisienne de solidarité (BTS) gère une ligne de financement dédiée dans le cadre d’une convention avec les ministères des Finances et de l’Emploi ;</w:t>
      </w:r>
      <w:r>
        <w:rPr>
          <w:rStyle w:val="FootnoteReference"/>
        </w:rPr>
        <w:footnoteReference w:id="40"/>
      </w:r>
      <w:r>
        <w:rPr>
          <w:rFonts w:ascii="Calibri" w:cs="Calibri" w:eastAsia="Calibri" w:hAnsi="Calibri"/>
          <w:color w:val="1B2A2C"/>
          <w:sz w:val="21"/>
          <w:szCs w:val="21"/>
        </w:rPr>
        <w:t xml:space="preserve"> la BIAT s’est positionnée comme partenaire d’accompagnement, de formation et de financement, en mobilisant son réseau d’agences.</w:t>
      </w:r>
      <w:r>
        <w:rPr>
          <w:rStyle w:val="FootnoteReference"/>
        </w:rPr>
        <w:footnoteReference w:id="41"/>
      </w:r>
    </w:p>
    <w:p>
      <w:pPr>
        <w:pStyle w:val="ListParagraph"/>
        <w:numPr>
          <w:ilvl w:val="0"/>
          <w:numId w:val="2"/>
        </w:numPr>
        <w:spacing w:after="70" w:line="268"/>
        <w:jc w:val="both"/>
      </w:pPr>
      <w:r>
        <w:rPr>
          <w:rFonts w:ascii="Calibri" w:cs="Calibri" w:eastAsia="Calibri" w:hAnsi="Calibri"/>
          <w:b/>
          <w:bCs/>
          <w:color w:val="1B2A2C"/>
          <w:sz w:val="21"/>
          <w:szCs w:val="21"/>
        </w:rPr>
        <w:t xml:space="preserve">BFPME et lignes de crédit à conditions souples</w:t>
      </w:r>
      <w:r>
        <w:rPr>
          <w:rFonts w:ascii="Calibri" w:cs="Calibri" w:eastAsia="Calibri" w:hAnsi="Calibri"/>
          <w:color w:val="1B2A2C"/>
          <w:sz w:val="21"/>
          <w:szCs w:val="21"/>
        </w:rPr>
        <w:t xml:space="preserve"> prévues par la loi de finances 2025 pour les PME, startups et acteurs de l’agriculture et de la pêche.</w:t>
      </w:r>
      <w:r>
        <w:rPr>
          <w:rStyle w:val="FootnoteReference"/>
        </w:rPr>
        <w:footnoteReference w:id="42"/>
      </w:r>
    </w:p>
    <w:p>
      <w:pPr>
        <w:pStyle w:val="ListParagraph"/>
        <w:numPr>
          <w:ilvl w:val="0"/>
          <w:numId w:val="2"/>
        </w:numPr>
        <w:spacing w:after="70" w:line="268"/>
        <w:jc w:val="both"/>
      </w:pPr>
      <w:r>
        <w:rPr>
          <w:rFonts w:ascii="Calibri" w:cs="Calibri" w:eastAsia="Calibri" w:hAnsi="Calibri"/>
          <w:b/>
          <w:bCs/>
          <w:color w:val="1B2A2C"/>
          <w:sz w:val="21"/>
          <w:szCs w:val="21"/>
        </w:rPr>
        <w:t xml:space="preserve">Relèvement des plafonds</w:t>
      </w:r>
      <w:r>
        <w:rPr>
          <w:rFonts w:ascii="Calibri" w:cs="Calibri" w:eastAsia="Calibri" w:hAnsi="Calibri"/>
          <w:color w:val="1B2A2C"/>
          <w:sz w:val="21"/>
          <w:szCs w:val="21"/>
        </w:rPr>
        <w:t xml:space="preserve"> : le plafond de financement a été porté de 300 000 dinars à 1 million de dinars afin de faciliter l’accès aux ressources.</w:t>
      </w:r>
      <w:r>
        <w:rPr>
          <w:rStyle w:val="FootnoteReference"/>
        </w:rPr>
        <w:footnoteReference w:id="43"/>
      </w:r>
    </w:p>
    <w:p>
      <w:pPr>
        <w:pStyle w:val="ListParagraph"/>
        <w:numPr>
          <w:ilvl w:val="0"/>
          <w:numId w:val="2"/>
        </w:numPr>
        <w:spacing w:after="70" w:line="268"/>
        <w:jc w:val="both"/>
      </w:pPr>
      <w:r>
        <w:rPr>
          <w:rFonts w:ascii="Calibri" w:cs="Calibri" w:eastAsia="Calibri" w:hAnsi="Calibri"/>
          <w:b/>
          <w:bCs/>
          <w:color w:val="1B2A2C"/>
          <w:sz w:val="21"/>
          <w:szCs w:val="21"/>
        </w:rPr>
        <w:t xml:space="preserve">Recettes de la réconciliation pénale</w:t>
      </w:r>
      <w:r>
        <w:rPr>
          <w:rFonts w:ascii="Calibri" w:cs="Calibri" w:eastAsia="Calibri" w:hAnsi="Calibri"/>
          <w:color w:val="1B2A2C"/>
          <w:sz w:val="21"/>
          <w:szCs w:val="21"/>
        </w:rPr>
        <w:t xml:space="preserve"> : 20 % de ces recettes peuvent être affectées par les collectivités locales à la contribution au capital des sociétés communautaires.</w:t>
      </w:r>
      <w:r>
        <w:rPr>
          <w:rStyle w:val="FootnoteReference"/>
        </w:rPr>
        <w:footnoteReference w:id="44"/>
      </w:r>
    </w:p>
    <w:p>
      <w:pPr>
        <w:pStyle w:val="Heading1"/>
        <w:pageBreakBefore/>
        <w:pBdr>
          <w:bottom w:val="single" w:color="01696F" w:sz="12" w:space="6"/>
        </w:pBdr>
        <w:spacing w:after="60" w:before="120"/>
      </w:pPr>
      <w:r>
        <w:rPr>
          <w:rFonts w:ascii="Calibri" w:cs="Calibri" w:eastAsia="Calibri" w:hAnsi="Calibri"/>
          <w:b/>
          <w:bCs/>
          <w:color w:val="0C4E54"/>
          <w:sz w:val="32"/>
          <w:szCs w:val="32"/>
        </w:rPr>
        <w:t xml:space="preserve">4. Gouvernance et fonctionnement</w:t>
      </w:r>
    </w:p>
    <w:p>
      <w:pPr>
        <w:spacing w:after="160" w:line="290"/>
        <w:jc w:val="both"/>
      </w:pPr>
      <w:r>
        <w:rPr>
          <w:rFonts w:ascii="Calibri" w:cs="Calibri" w:eastAsia="Calibri" w:hAnsi="Calibri"/>
          <w:color w:val="1B2A2C"/>
          <w:sz w:val="22"/>
          <w:szCs w:val="22"/>
        </w:rPr>
        <w:t xml:space="preserve">La gouvernance des sociétés communautaires repose sur un principe démocratique fort : la décision appartient collectivement aux participants, indépendamment du poids financier de chacun. La réforme de 2025 a resserré et professionnalisé ce dispositif.</w:t>
      </w:r>
    </w:p>
    <w:p>
      <w:pPr>
        <w:pStyle w:val="Heading2"/>
        <w:spacing w:after="100" w:before="240"/>
      </w:pPr>
      <w:r>
        <w:rPr>
          <w:rFonts w:ascii="Calibri" w:cs="Calibri" w:eastAsia="Calibri" w:hAnsi="Calibri"/>
          <w:b/>
          <w:bCs/>
          <w:color w:val="0C4E54"/>
          <w:sz w:val="25"/>
          <w:szCs w:val="25"/>
        </w:rPr>
        <w:t xml:space="preserve">4.1 Le principe « une personne, une voix »</w:t>
      </w:r>
    </w:p>
    <w:p>
      <w:pPr>
        <w:spacing w:after="140" w:before="0" w:line="276"/>
        <w:jc w:val="both"/>
      </w:pPr>
      <w:r>
        <w:rPr>
          <w:rFonts w:ascii="Calibri" w:cs="Calibri" w:eastAsia="Calibri" w:hAnsi="Calibri"/>
          <w:color w:val="1B2A2C"/>
          <w:sz w:val="21"/>
          <w:szCs w:val="21"/>
        </w:rPr>
        <w:t xml:space="preserve">Dans une société communautaire, </w:t>
      </w:r>
      <w:r>
        <w:rPr>
          <w:rFonts w:ascii="Calibri" w:cs="Calibri" w:eastAsia="Calibri" w:hAnsi="Calibri"/>
          <w:b/>
          <w:bCs/>
          <w:color w:val="1B2A2C"/>
          <w:sz w:val="21"/>
          <w:szCs w:val="21"/>
        </w:rPr>
        <w:t xml:space="preserve">chaque participant dispose d’une seule voix</w:t>
      </w:r>
      <w:r>
        <w:rPr>
          <w:rFonts w:ascii="Calibri" w:cs="Calibri" w:eastAsia="Calibri" w:hAnsi="Calibri"/>
          <w:color w:val="1B2A2C"/>
          <w:sz w:val="21"/>
          <w:szCs w:val="21"/>
        </w:rPr>
        <w:t xml:space="preserve">, quel que soit le montant de sa contribution au capital. Ce principe, hérité du modèle coopératif, assure une gouvernance égalitaire où chaque voix compte de façon identique dans les décisions de l’assemblée générale.</w:t>
      </w:r>
      <w:r>
        <w:rPr>
          <w:rStyle w:val="FootnoteReference"/>
        </w:rPr>
        <w:footnoteReference w:id="45"/>
      </w:r>
      <w:r>
        <w:rPr>
          <w:rFonts w:ascii="Calibri" w:cs="Calibri" w:eastAsia="Calibri" w:hAnsi="Calibri"/>
          <w:color w:val="1B2A2C"/>
          <w:sz w:val="21"/>
          <w:szCs w:val="21"/>
        </w:rPr>
        <w:t xml:space="preserve"> Il s’oppose au modèle des sociétés commerciales classiques, où le pouvoir de vote est proportionnel à la participation au capital.</w:t>
      </w:r>
    </w:p>
    <w:tbl>
      <w:tblPr>
        <w:tblW w:type="dxa" w:w="9360"/>
        <w:tblBorders>
          <w:top w:val="single" w:color="EAF1F1" w:sz="1"/>
          <w:left w:val="single" w:color="01696F" w:sz="24"/>
          <w:bottom w:val="single" w:color="EAF1F1" w:sz="1"/>
          <w:right w:val="single" w:color="EAF1F1" w:sz="1"/>
          <w:insideH w:val="none"/>
          <w:insideV w:val="none"/>
        </w:tblBorders>
      </w:tblPr>
      <w:tblGrid>
        <w:gridCol w:w="9360"/>
      </w:tblGrid>
      <w:tr>
        <w:tc>
          <w:tcPr>
            <w:tcW w:type="dxa" w:w="9360"/>
            <w:shd w:fill="EAF1F1" w:color="auto" w:val="clear"/>
            <w:tcMar>
              <w:top w:type="dxa" w:w="120"/>
              <w:left w:type="dxa" w:w="200"/>
              <w:bottom w:type="dxa" w:w="120"/>
              <w:right w:type="dxa" w:w="160"/>
            </w:tcMar>
          </w:tcPr>
          <w:p>
            <w:pPr>
              <w:spacing w:after="60"/>
            </w:pPr>
            <w:r>
              <w:rPr>
                <w:rFonts w:ascii="Calibri" w:cs="Calibri" w:eastAsia="Calibri" w:hAnsi="Calibri"/>
                <w:b/>
                <w:bCs/>
                <w:color w:val="0C4E54"/>
                <w:sz w:val="21"/>
                <w:szCs w:val="21"/>
              </w:rPr>
              <w:t xml:space="preserve">Prérogatives des participants</w:t>
            </w:r>
          </w:p>
          <w:p>
            <w:pPr>
              <w:spacing w:after="60" w:line="264"/>
              <w:jc w:val="both"/>
            </w:pPr>
            <w:r>
              <w:rPr>
                <w:rFonts w:ascii="Calibri" w:cs="Calibri" w:eastAsia="Calibri" w:hAnsi="Calibri"/>
                <w:b/>
                <w:bCs/>
                <w:color w:val="1B2A2C"/>
                <w:sz w:val="20"/>
                <w:szCs w:val="20"/>
              </w:rPr>
              <w:t xml:space="preserve">Droit de vote égal</w:t>
            </w:r>
            <w:r>
              <w:rPr>
                <w:rFonts w:ascii="Calibri" w:cs="Calibri" w:eastAsia="Calibri" w:hAnsi="Calibri"/>
                <w:color w:val="1B2A2C"/>
                <w:sz w:val="20"/>
                <w:szCs w:val="20"/>
              </w:rPr>
              <w:t xml:space="preserve"> : participation aux décisions en assemblée générale, à raison d’une voix par personne.</w:t>
            </w:r>
          </w:p>
          <w:p>
            <w:pPr>
              <w:spacing w:after="60" w:line="264"/>
              <w:jc w:val="both"/>
            </w:pPr>
            <w:r>
              <w:rPr>
                <w:rFonts w:ascii="Calibri" w:cs="Calibri" w:eastAsia="Calibri" w:hAnsi="Calibri"/>
                <w:b/>
                <w:bCs/>
                <w:color w:val="1B2A2C"/>
                <w:sz w:val="20"/>
                <w:szCs w:val="20"/>
              </w:rPr>
              <w:t xml:space="preserve">Participation aux bénéfices</w:t>
            </w:r>
            <w:r>
              <w:rPr>
                <w:rFonts w:ascii="Calibri" w:cs="Calibri" w:eastAsia="Calibri" w:hAnsi="Calibri"/>
                <w:color w:val="1B2A2C"/>
                <w:sz w:val="20"/>
                <w:szCs w:val="20"/>
              </w:rPr>
              <w:t xml:space="preserve"> : selon les modalités approuvées par l’assemblée, indépendamment du capital apporté.</w:t>
            </w:r>
          </w:p>
          <w:p>
            <w:pPr>
              <w:spacing w:after="60" w:line="264"/>
              <w:jc w:val="both"/>
            </w:pPr>
            <w:r>
              <w:rPr>
                <w:rFonts w:ascii="Calibri" w:cs="Calibri" w:eastAsia="Calibri" w:hAnsi="Calibri"/>
                <w:b/>
                <w:bCs/>
                <w:color w:val="1B2A2C"/>
                <w:sz w:val="20"/>
                <w:szCs w:val="20"/>
              </w:rPr>
              <w:t xml:space="preserve">Contrôle et transparence</w:t>
            </w:r>
            <w:r>
              <w:rPr>
                <w:rFonts w:ascii="Calibri" w:cs="Calibri" w:eastAsia="Calibri" w:hAnsi="Calibri"/>
                <w:color w:val="1B2A2C"/>
                <w:sz w:val="20"/>
                <w:szCs w:val="20"/>
              </w:rPr>
              <w:t xml:space="preserve"> : accès aux documents de gestion et droit de regard sur les activités.</w:t>
            </w:r>
          </w:p>
          <w:p>
            <w:pPr>
              <w:spacing w:after="0" w:line="264"/>
              <w:jc w:val="both"/>
            </w:pPr>
            <w:r>
              <w:rPr>
                <w:rFonts w:ascii="Calibri" w:cs="Calibri" w:eastAsia="Calibri" w:hAnsi="Calibri"/>
                <w:b/>
                <w:bCs/>
                <w:color w:val="1B2A2C"/>
                <w:sz w:val="20"/>
                <w:szCs w:val="20"/>
              </w:rPr>
              <w:t xml:space="preserve">Égalité dans les décisions stratégiques</w:t>
            </w:r>
            <w:r>
              <w:rPr>
                <w:rFonts w:ascii="Calibri" w:cs="Calibri" w:eastAsia="Calibri" w:hAnsi="Calibri"/>
                <w:color w:val="1B2A2C"/>
                <w:sz w:val="20"/>
                <w:szCs w:val="20"/>
              </w:rPr>
              <w:t xml:space="preserve"> : voix égale sur les changements majeurs affectant la société.</w:t>
            </w:r>
          </w:p>
        </w:tc>
      </w:tr>
    </w:tbl>
    <w:p>
      <w:pPr>
        <w:pStyle w:val="Heading2"/>
        <w:spacing w:after="100" w:before="240"/>
      </w:pPr>
      <w:r>
        <w:rPr>
          <w:rFonts w:ascii="Calibri" w:cs="Calibri" w:eastAsia="Calibri" w:hAnsi="Calibri"/>
          <w:b/>
          <w:bCs/>
          <w:color w:val="0C4E54"/>
          <w:sz w:val="25"/>
          <w:szCs w:val="25"/>
        </w:rPr>
        <w:t xml:space="preserve">4.2 L’assemblée générale</w:t>
      </w:r>
    </w:p>
    <w:p>
      <w:pPr>
        <w:spacing w:after="140" w:before="0" w:line="276"/>
        <w:jc w:val="both"/>
      </w:pPr>
      <w:r>
        <w:rPr>
          <w:rFonts w:ascii="Calibri" w:cs="Calibri" w:eastAsia="Calibri" w:hAnsi="Calibri"/>
          <w:color w:val="1B2A2C"/>
          <w:sz w:val="21"/>
          <w:szCs w:val="21"/>
        </w:rPr>
        <w:t xml:space="preserve">L’assemblée générale est l’organe souverain. L’assemblée générale constitutive valide la liste des souscripteurs, approuve le règlement intérieur, examine les éventuelles contributions en nature, désigne le commissaire aux comptes et élit les membres du conseil d’administration.</w:t>
      </w:r>
      <w:r>
        <w:rPr>
          <w:rStyle w:val="FootnoteReference"/>
        </w:rPr>
        <w:footnoteReference w:id="46"/>
      </w:r>
      <w:r>
        <w:rPr>
          <w:rFonts w:ascii="Calibri" w:cs="Calibri" w:eastAsia="Calibri" w:hAnsi="Calibri"/>
          <w:color w:val="1B2A2C"/>
          <w:sz w:val="21"/>
          <w:szCs w:val="21"/>
        </w:rPr>
        <w:t xml:space="preserve"> Par la suite, l’assemblée approuve les comptes, décide de l’affectation des résultats et se prononce sur les orientations stratégiques. Le ministère de tutelle peut, en cas de besoin, convoquer une assemblée générale extraordinaire.</w:t>
      </w:r>
      <w:r>
        <w:rPr>
          <w:rStyle w:val="FootnoteReference"/>
        </w:rPr>
        <w:footnoteReference w:id="47"/>
      </w:r>
    </w:p>
    <w:p>
      <w:pPr>
        <w:pStyle w:val="Heading2"/>
        <w:spacing w:after="100" w:before="240"/>
      </w:pPr>
      <w:r>
        <w:rPr>
          <w:rFonts w:ascii="Calibri" w:cs="Calibri" w:eastAsia="Calibri" w:hAnsi="Calibri"/>
          <w:b/>
          <w:bCs/>
          <w:color w:val="0C4E54"/>
          <w:sz w:val="25"/>
          <w:szCs w:val="25"/>
        </w:rPr>
        <w:t xml:space="preserve">4.3 Le conseil d’administration : refonte de 2025</w:t>
      </w:r>
    </w:p>
    <w:p>
      <w:pPr>
        <w:spacing w:after="140" w:before="0" w:line="276"/>
        <w:jc w:val="both"/>
      </w:pPr>
      <w:r>
        <w:rPr>
          <w:rFonts w:ascii="Calibri" w:cs="Calibri" w:eastAsia="Calibri" w:hAnsi="Calibri"/>
          <w:color w:val="1B2A2C"/>
          <w:sz w:val="21"/>
          <w:szCs w:val="21"/>
        </w:rPr>
        <w:t xml:space="preserve">Le conseil d’administration assure la gestion stratégique et la supervision de la société. Ses membres sont choisis parmi les participants et élus par l’assemblée générale. La composition a été substantiellement revue par la réforme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8"/>
        <w:gridCol w:w="3276"/>
        <w:gridCol w:w="3276"/>
      </w:tblGrid>
      <w:tr>
        <w:trPr>
          <w:cantSplit/>
          <w:tblHeader/>
        </w:trPr>
        <w:tc>
          <w:tcPr>
            <w:tcW w:type="dxa" w:w="2808"/>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Élément</w:t>
            </w:r>
          </w:p>
        </w:tc>
        <w:tc>
          <w:tcPr>
            <w:tcW w:type="dxa" w:w="3276"/>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Régime initial (2022)</w:t>
            </w:r>
          </w:p>
        </w:tc>
        <w:tc>
          <w:tcPr>
            <w:tcW w:type="dxa" w:w="3276"/>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Régime en vigueur (2025)</w:t>
            </w:r>
          </w:p>
        </w:tc>
      </w:tr>
      <w:tr>
        <w:trPr>
          <w:cantSplit/>
        </w:trPr>
        <w:tc>
          <w:tcPr>
            <w:tcW w:type="dxa" w:w="280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Nombre de membres</w:t>
            </w:r>
          </w:p>
        </w:tc>
        <w:tc>
          <w:tcPr>
            <w:tcW w:type="dxa" w:w="3276"/>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6, 9 ou 12 membres selon la taille</w:t>
            </w:r>
          </w:p>
        </w:tc>
        <w:tc>
          <w:tcPr>
            <w:tcW w:type="dxa" w:w="3276"/>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De 3 à 10 membres selon la taille</w:t>
            </w:r>
          </w:p>
        </w:tc>
      </w:tr>
      <w:tr>
        <w:trPr>
          <w:cantSplit/>
        </w:trPr>
        <w:tc>
          <w:tcPr>
            <w:tcW w:type="dxa" w:w="2808"/>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Durée du mandat</w:t>
            </w:r>
          </w:p>
        </w:tc>
        <w:tc>
          <w:tcPr>
            <w:tcW w:type="dxa" w:w="3276"/>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Selon statuts</w:t>
            </w:r>
          </w:p>
        </w:tc>
        <w:tc>
          <w:tcPr>
            <w:tcW w:type="dxa" w:w="3276"/>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3 ans</w:t>
            </w:r>
          </w:p>
        </w:tc>
      </w:tr>
      <w:tr>
        <w:trPr>
          <w:cantSplit/>
        </w:trPr>
        <w:tc>
          <w:tcPr>
            <w:tcW w:type="dxa" w:w="280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Renouvellement</w:t>
            </w:r>
          </w:p>
        </w:tc>
        <w:tc>
          <w:tcPr>
            <w:tcW w:type="dxa" w:w="3276"/>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Selon statuts</w:t>
            </w:r>
          </w:p>
        </w:tc>
        <w:tc>
          <w:tcPr>
            <w:tcW w:type="dxa" w:w="3276"/>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Renouvelable deux fois</w:t>
            </w:r>
          </w:p>
        </w:tc>
      </w:tr>
      <w:tr>
        <w:trPr>
          <w:cantSplit/>
        </w:trPr>
        <w:tc>
          <w:tcPr>
            <w:tcW w:type="dxa" w:w="2808"/>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Cumul de mandats</w:t>
            </w:r>
          </w:p>
        </w:tc>
        <w:tc>
          <w:tcPr>
            <w:tcW w:type="dxa" w:w="3276"/>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Interdiction de siéger dans le CA d’une autre société</w:t>
            </w:r>
          </w:p>
        </w:tc>
        <w:tc>
          <w:tcPr>
            <w:tcW w:type="dxa" w:w="3276"/>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Règles strictes d’incompatibilité pour éviter les cumuls</w:t>
            </w:r>
          </w:p>
        </w:tc>
      </w:tr>
    </w:tbl>
    <w:p>
      <w:pPr>
        <w:spacing w:after="140" w:before="0" w:line="276"/>
        <w:jc w:val="both"/>
      </w:pPr>
      <w:r>
        <w:rPr>
          <w:rFonts w:ascii="Calibri" w:cs="Calibri" w:eastAsia="Calibri" w:hAnsi="Calibri"/>
          <w:color w:val="1B2A2C"/>
          <w:sz w:val="21"/>
          <w:szCs w:val="21"/>
        </w:rPr>
        <w:t xml:space="preserve">Le conseil élit un président, prépare les rapports à soumettre à l’assemblée générale, représente légalement la société et agit dans les limites fixées par les statuts.</w:t>
      </w:r>
      <w:r>
        <w:rPr>
          <w:rStyle w:val="FootnoteReference"/>
        </w:rPr>
        <w:footnoteReference w:id="48"/>
      </w:r>
      <w:r>
        <w:rPr>
          <w:rFonts w:ascii="Calibri" w:cs="Calibri" w:eastAsia="Calibri" w:hAnsi="Calibri"/>
          <w:color w:val="1B2A2C"/>
          <w:sz w:val="21"/>
          <w:szCs w:val="21"/>
        </w:rPr>
        <w:t xml:space="preserve"> La réforme de 2025 a introduit des règles d’incompatibilité strictes destinées à prévenir les conflits d’intérêts et la concentration de mandats.</w:t>
      </w:r>
      <w:r>
        <w:rPr>
          <w:rStyle w:val="FootnoteReference"/>
        </w:rPr>
        <w:footnoteReference w:id="49"/>
      </w:r>
    </w:p>
    <w:p>
      <w:pPr>
        <w:pStyle w:val="Heading2"/>
        <w:spacing w:after="100" w:before="240"/>
      </w:pPr>
      <w:r>
        <w:rPr>
          <w:rFonts w:ascii="Calibri" w:cs="Calibri" w:eastAsia="Calibri" w:hAnsi="Calibri"/>
          <w:b/>
          <w:bCs/>
          <w:color w:val="0C4E54"/>
          <w:sz w:val="25"/>
          <w:szCs w:val="25"/>
        </w:rPr>
        <w:t xml:space="preserve">4.4 Contrôle, tutelle et commissariat aux comptes</w:t>
      </w:r>
    </w:p>
    <w:p>
      <w:pPr>
        <w:spacing w:after="140" w:before="0" w:line="276"/>
        <w:jc w:val="both"/>
      </w:pPr>
      <w:r>
        <w:rPr>
          <w:rFonts w:ascii="Calibri" w:cs="Calibri" w:eastAsia="Calibri" w:hAnsi="Calibri"/>
          <w:color w:val="1B2A2C"/>
          <w:sz w:val="21"/>
          <w:szCs w:val="21"/>
        </w:rPr>
        <w:t xml:space="preserve">La société désigne un </w:t>
      </w:r>
      <w:r>
        <w:rPr>
          <w:rFonts w:ascii="Calibri" w:cs="Calibri" w:eastAsia="Calibri" w:hAnsi="Calibri"/>
          <w:b/>
          <w:bCs/>
          <w:color w:val="1B2A2C"/>
          <w:sz w:val="21"/>
          <w:szCs w:val="21"/>
        </w:rPr>
        <w:t xml:space="preserve">commissaire aux comptes</w:t>
      </w:r>
      <w:r>
        <w:rPr>
          <w:rFonts w:ascii="Calibri" w:cs="Calibri" w:eastAsia="Calibri" w:hAnsi="Calibri"/>
          <w:color w:val="1B2A2C"/>
          <w:sz w:val="21"/>
          <w:szCs w:val="21"/>
        </w:rPr>
        <w:t xml:space="preserve"> dès l’assemblée constitutive, garant du contrôle légal des comptes.</w:t>
      </w:r>
      <w:r>
        <w:rPr>
          <w:rStyle w:val="FootnoteReference"/>
        </w:rPr>
        <w:footnoteReference w:id="50"/>
      </w:r>
      <w:r>
        <w:rPr>
          <w:rFonts w:ascii="Calibri" w:cs="Calibri" w:eastAsia="Calibri" w:hAnsi="Calibri"/>
          <w:color w:val="1B2A2C"/>
          <w:sz w:val="21"/>
          <w:szCs w:val="21"/>
        </w:rPr>
        <w:t xml:space="preserve"> Au-delà, la réforme de 2025 a instauré un dispositif complet d’accompagnement, de suivi et de contrôle par le ministère chargé des sociétés communautaires :</w:t>
      </w:r>
      <w:r>
        <w:rPr>
          <w:rStyle w:val="FootnoteReference"/>
        </w:rPr>
        <w:footnoteReference w:id="51"/>
      </w:r>
    </w:p>
    <w:p>
      <w:pPr>
        <w:pStyle w:val="ListParagraph"/>
        <w:numPr>
          <w:ilvl w:val="0"/>
          <w:numId w:val="2"/>
        </w:numPr>
        <w:spacing w:after="70" w:line="268"/>
        <w:jc w:val="both"/>
      </w:pPr>
      <w:r>
        <w:rPr>
          <w:rFonts w:ascii="Calibri" w:cs="Calibri" w:eastAsia="Calibri" w:hAnsi="Calibri"/>
          <w:color w:val="1B2A2C"/>
          <w:sz w:val="21"/>
          <w:szCs w:val="21"/>
        </w:rPr>
        <w:t xml:space="preserve">les sociétés doivent </w:t>
      </w:r>
      <w:r>
        <w:rPr>
          <w:rFonts w:ascii="Calibri" w:cs="Calibri" w:eastAsia="Calibri" w:hAnsi="Calibri"/>
          <w:b/>
          <w:bCs/>
          <w:color w:val="1B2A2C"/>
          <w:sz w:val="21"/>
          <w:szCs w:val="21"/>
        </w:rPr>
        <w:t xml:space="preserve">transmettre leurs rapports et procès-verbaux</w:t>
      </w:r>
      <w:r>
        <w:rPr>
          <w:rFonts w:ascii="Calibri" w:cs="Calibri" w:eastAsia="Calibri" w:hAnsi="Calibri"/>
          <w:color w:val="1B2A2C"/>
          <w:sz w:val="21"/>
          <w:szCs w:val="21"/>
        </w:rPr>
        <w:t xml:space="preserve"> au ministère concerné ;</w:t>
      </w:r>
    </w:p>
    <w:p>
      <w:pPr>
        <w:pStyle w:val="ListParagraph"/>
        <w:numPr>
          <w:ilvl w:val="0"/>
          <w:numId w:val="2"/>
        </w:numPr>
        <w:spacing w:after="70" w:line="268"/>
        <w:jc w:val="both"/>
      </w:pPr>
      <w:r>
        <w:rPr>
          <w:rFonts w:ascii="Calibri" w:cs="Calibri" w:eastAsia="Calibri" w:hAnsi="Calibri"/>
          <w:color w:val="1B2A2C"/>
          <w:sz w:val="21"/>
          <w:szCs w:val="21"/>
        </w:rPr>
        <w:t xml:space="preserve">le ministère peut </w:t>
      </w:r>
      <w:r>
        <w:rPr>
          <w:rFonts w:ascii="Calibri" w:cs="Calibri" w:eastAsia="Calibri" w:hAnsi="Calibri"/>
          <w:b/>
          <w:bCs/>
          <w:color w:val="1B2A2C"/>
          <w:sz w:val="21"/>
          <w:szCs w:val="21"/>
        </w:rPr>
        <w:t xml:space="preserve">émettre des réserves</w:t>
      </w:r>
      <w:r>
        <w:rPr>
          <w:rFonts w:ascii="Calibri" w:cs="Calibri" w:eastAsia="Calibri" w:hAnsi="Calibri"/>
          <w:color w:val="1B2A2C"/>
          <w:sz w:val="21"/>
          <w:szCs w:val="21"/>
        </w:rPr>
        <w:t xml:space="preserve"> et </w:t>
      </w:r>
      <w:r>
        <w:rPr>
          <w:rFonts w:ascii="Calibri" w:cs="Calibri" w:eastAsia="Calibri" w:hAnsi="Calibri"/>
          <w:b/>
          <w:bCs/>
          <w:color w:val="1B2A2C"/>
          <w:sz w:val="21"/>
          <w:szCs w:val="21"/>
        </w:rPr>
        <w:t xml:space="preserve">convoquer des assemblées générales extraordinaires</w:t>
      </w:r>
      <w:r>
        <w:rPr>
          <w:rFonts w:ascii="Calibri" w:cs="Calibri" w:eastAsia="Calibri" w:hAnsi="Calibri"/>
          <w:color w:val="1B2A2C"/>
          <w:sz w:val="21"/>
          <w:szCs w:val="21"/>
        </w:rPr>
        <w:t xml:space="preserve"> ;</w:t>
      </w:r>
    </w:p>
    <w:p>
      <w:pPr>
        <w:pStyle w:val="ListParagraph"/>
        <w:numPr>
          <w:ilvl w:val="0"/>
          <w:numId w:val="2"/>
        </w:numPr>
        <w:spacing w:after="70" w:line="268"/>
        <w:jc w:val="both"/>
      </w:pPr>
      <w:r>
        <w:rPr>
          <w:rFonts w:ascii="Calibri" w:cs="Calibri" w:eastAsia="Calibri" w:hAnsi="Calibri"/>
          <w:color w:val="1B2A2C"/>
          <w:sz w:val="21"/>
          <w:szCs w:val="21"/>
        </w:rPr>
        <w:t xml:space="preserve">en cas de </w:t>
      </w:r>
      <w:r>
        <w:rPr>
          <w:rFonts w:ascii="Calibri" w:cs="Calibri" w:eastAsia="Calibri" w:hAnsi="Calibri"/>
          <w:b/>
          <w:bCs/>
          <w:color w:val="1B2A2C"/>
          <w:sz w:val="21"/>
          <w:szCs w:val="21"/>
        </w:rPr>
        <w:t xml:space="preserve">manquements graves</w:t>
      </w:r>
      <w:r>
        <w:rPr>
          <w:rFonts w:ascii="Calibri" w:cs="Calibri" w:eastAsia="Calibri" w:hAnsi="Calibri"/>
          <w:color w:val="1B2A2C"/>
          <w:sz w:val="21"/>
          <w:szCs w:val="21"/>
        </w:rPr>
        <w:t xml:space="preserve">, le ministère peut </w:t>
      </w:r>
      <w:r>
        <w:rPr>
          <w:rFonts w:ascii="Calibri" w:cs="Calibri" w:eastAsia="Calibri" w:hAnsi="Calibri"/>
          <w:b/>
          <w:bCs/>
          <w:color w:val="1B2A2C"/>
          <w:sz w:val="21"/>
          <w:szCs w:val="21"/>
        </w:rPr>
        <w:t xml:space="preserve">dissoudre le conseil d’administration</w:t>
      </w:r>
      <w:r>
        <w:rPr>
          <w:rFonts w:ascii="Calibri" w:cs="Calibri" w:eastAsia="Calibri" w:hAnsi="Calibri"/>
          <w:color w:val="1B2A2C"/>
          <w:sz w:val="21"/>
          <w:szCs w:val="21"/>
        </w:rPr>
        <w:t xml:space="preserve">.</w:t>
      </w:r>
    </w:p>
    <w:p>
      <w:pPr>
        <w:spacing w:after="140" w:before="0" w:line="276"/>
        <w:jc w:val="both"/>
      </w:pPr>
      <w:r>
        <w:rPr>
          <w:rFonts w:ascii="Calibri" w:cs="Calibri" w:eastAsia="Calibri" w:hAnsi="Calibri"/>
          <w:color w:val="1B2A2C"/>
          <w:sz w:val="21"/>
          <w:szCs w:val="21"/>
        </w:rPr>
        <w:t xml:space="preserve">Ce dispositif de tutelle renforcée traduit la volonté de sécuriser un modèle encore jeune, tout en garantissant la transparence vis-à-vis des participants et des financeurs publics.</w:t>
      </w:r>
    </w:p>
    <w:p>
      <w:pPr>
        <w:pStyle w:val="Heading1"/>
        <w:pageBreakBefore/>
        <w:pBdr>
          <w:bottom w:val="single" w:color="01696F" w:sz="12" w:space="6"/>
        </w:pBdr>
        <w:spacing w:after="60" w:before="120"/>
      </w:pPr>
      <w:r>
        <w:rPr>
          <w:rFonts w:ascii="Calibri" w:cs="Calibri" w:eastAsia="Calibri" w:hAnsi="Calibri"/>
          <w:b/>
          <w:bCs/>
          <w:color w:val="0C4E54"/>
          <w:sz w:val="32"/>
          <w:szCs w:val="32"/>
        </w:rPr>
        <w:t xml:space="preserve">5. Étapes de constitution</w:t>
      </w:r>
    </w:p>
    <w:p>
      <w:pPr>
        <w:spacing w:after="160" w:line="290"/>
        <w:jc w:val="both"/>
      </w:pPr>
      <w:r>
        <w:rPr>
          <w:rFonts w:ascii="Calibri" w:cs="Calibri" w:eastAsia="Calibri" w:hAnsi="Calibri"/>
          <w:color w:val="1B2A2C"/>
          <w:sz w:val="22"/>
          <w:szCs w:val="22"/>
        </w:rPr>
        <w:t xml:space="preserve">La création d’une société communautaire suit une séquence administrative précise, destinée à garantir le respect des règles locales et régionales. Les étapes ci-dessous synthétisent le parcours type ; les seuils chiffrés sont ceux du régime en vigueur depuis 2025.</w:t>
      </w:r>
      <w:r>
        <w:rPr>
          <w:rStyle w:val="FootnoteReference"/>
        </w:rPr>
        <w:footnoteReference w:id="52"/>
      </w:r>
    </w:p>
    <w:p>
      <w:pPr>
        <w:pStyle w:val="Heading2"/>
        <w:spacing w:after="100" w:before="240"/>
      </w:pPr>
      <w:r>
        <w:rPr>
          <w:rFonts w:ascii="Calibri" w:cs="Calibri" w:eastAsia="Calibri" w:hAnsi="Calibri"/>
          <w:b/>
          <w:bCs/>
          <w:color w:val="0C4E54"/>
          <w:sz w:val="25"/>
          <w:szCs w:val="25"/>
        </w:rPr>
        <w:t xml:space="preserve">5.1 Le parcours étape par étape</w:t>
      </w:r>
    </w:p>
    <w:p>
      <w:pPr>
        <w:pStyle w:val="ListParagraph"/>
        <w:numPr>
          <w:ilvl w:val="0"/>
          <w:numId w:val="3"/>
        </w:numPr>
        <w:spacing w:after="90" w:line="270"/>
        <w:jc w:val="both"/>
      </w:pPr>
      <w:r>
        <w:rPr>
          <w:rFonts w:ascii="Calibri" w:cs="Calibri" w:eastAsia="Calibri" w:hAnsi="Calibri"/>
          <w:b/>
          <w:bCs/>
          <w:color w:val="1B2A2C"/>
          <w:sz w:val="21"/>
          <w:szCs w:val="21"/>
        </w:rPr>
        <w:t xml:space="preserve">Formation du comité fondateur et élection du président.</w:t>
      </w:r>
      <w:r>
        <w:rPr>
          <w:rFonts w:ascii="Calibri" w:cs="Calibri" w:eastAsia="Calibri" w:hAnsi="Calibri"/>
          <w:color w:val="1B2A2C"/>
          <w:sz w:val="21"/>
          <w:szCs w:val="21"/>
        </w:rPr>
        <w:t xml:space="preserve"> Les membres créateurs constituent un comité fondateur et, lors de la première réunion, élisent son président. La procédure est consignée dans un procès-verbal.</w:t>
      </w:r>
      <w:r>
        <w:rPr>
          <w:rStyle w:val="FootnoteReference"/>
        </w:rPr>
        <w:footnoteReference w:id="53"/>
      </w:r>
    </w:p>
    <w:p>
      <w:pPr>
        <w:pStyle w:val="ListParagraph"/>
        <w:numPr>
          <w:ilvl w:val="0"/>
          <w:numId w:val="3"/>
        </w:numPr>
        <w:spacing w:after="90" w:line="270"/>
        <w:jc w:val="both"/>
      </w:pPr>
      <w:r>
        <w:rPr>
          <w:rFonts w:ascii="Calibri" w:cs="Calibri" w:eastAsia="Calibri" w:hAnsi="Calibri"/>
          <w:b/>
          <w:bCs/>
          <w:color w:val="1B2A2C"/>
          <w:sz w:val="21"/>
          <w:szCs w:val="21"/>
        </w:rPr>
        <w:t xml:space="preserve">Notification à l’autorité de tutelle.</w:t>
      </w:r>
      <w:r>
        <w:rPr>
          <w:rFonts w:ascii="Calibri" w:cs="Calibri" w:eastAsia="Calibri" w:hAnsi="Calibri"/>
          <w:color w:val="1B2A2C"/>
          <w:sz w:val="21"/>
          <w:szCs w:val="21"/>
        </w:rPr>
        <w:t xml:space="preserve"> Le comité notifie l’autorité compétente, qui supervisera le respect de la réglementation applicable à la société communautaire.</w:t>
      </w:r>
      <w:r>
        <w:rPr>
          <w:rStyle w:val="FootnoteReference"/>
        </w:rPr>
        <w:footnoteReference w:id="54"/>
      </w:r>
    </w:p>
    <w:p>
      <w:pPr>
        <w:pStyle w:val="ListParagraph"/>
        <w:numPr>
          <w:ilvl w:val="0"/>
          <w:numId w:val="3"/>
        </w:numPr>
        <w:spacing w:after="90" w:line="270"/>
        <w:jc w:val="both"/>
      </w:pPr>
      <w:r>
        <w:rPr>
          <w:rFonts w:ascii="Calibri" w:cs="Calibri" w:eastAsia="Calibri" w:hAnsi="Calibri"/>
          <w:b/>
          <w:bCs/>
          <w:color w:val="1B2A2C"/>
          <w:sz w:val="21"/>
          <w:szCs w:val="21"/>
        </w:rPr>
        <w:t xml:space="preserve">Réservation de la dénomination sociale.</w:t>
      </w:r>
      <w:r>
        <w:rPr>
          <w:rFonts w:ascii="Calibri" w:cs="Calibri" w:eastAsia="Calibri" w:hAnsi="Calibri"/>
          <w:color w:val="1B2A2C"/>
          <w:sz w:val="21"/>
          <w:szCs w:val="21"/>
        </w:rPr>
        <w:t xml:space="preserve"> Les fondateurs réservent le nom de la société, en indiquant obligatoirement son caractère </w:t>
      </w:r>
      <w:r>
        <w:rPr>
          <w:rFonts w:ascii="Calibri" w:cs="Calibri" w:eastAsia="Calibri" w:hAnsi="Calibri"/>
          <w:b/>
          <w:bCs/>
          <w:color w:val="1B2A2C"/>
          <w:sz w:val="21"/>
          <w:szCs w:val="21"/>
        </w:rPr>
        <w:t xml:space="preserve">local</w:t>
      </w:r>
      <w:r>
        <w:rPr>
          <w:rFonts w:ascii="Calibri" w:cs="Calibri" w:eastAsia="Calibri" w:hAnsi="Calibri"/>
          <w:color w:val="1B2A2C"/>
          <w:sz w:val="21"/>
          <w:szCs w:val="21"/>
        </w:rPr>
        <w:t xml:space="preserve"> ou </w:t>
      </w:r>
      <w:r>
        <w:rPr>
          <w:rFonts w:ascii="Calibri" w:cs="Calibri" w:eastAsia="Calibri" w:hAnsi="Calibri"/>
          <w:b/>
          <w:bCs/>
          <w:color w:val="1B2A2C"/>
          <w:sz w:val="21"/>
          <w:szCs w:val="21"/>
        </w:rPr>
        <w:t xml:space="preserve">régional</w:t>
      </w:r>
      <w:r>
        <w:rPr>
          <w:rFonts w:ascii="Calibri" w:cs="Calibri" w:eastAsia="Calibri" w:hAnsi="Calibri"/>
          <w:color w:val="1B2A2C"/>
          <w:sz w:val="21"/>
          <w:szCs w:val="21"/>
        </w:rPr>
        <w:t xml:space="preserve">, auprès du registre compétent.</w:t>
      </w:r>
      <w:r>
        <w:rPr>
          <w:rStyle w:val="FootnoteReference"/>
        </w:rPr>
        <w:footnoteReference w:id="55"/>
      </w:r>
    </w:p>
    <w:p>
      <w:pPr>
        <w:pStyle w:val="ListParagraph"/>
        <w:numPr>
          <w:ilvl w:val="0"/>
          <w:numId w:val="3"/>
        </w:numPr>
        <w:spacing w:after="90" w:line="270"/>
        <w:jc w:val="both"/>
      </w:pPr>
      <w:r>
        <w:rPr>
          <w:rFonts w:ascii="Calibri" w:cs="Calibri" w:eastAsia="Calibri" w:hAnsi="Calibri"/>
          <w:b/>
          <w:bCs/>
          <w:color w:val="1B2A2C"/>
          <w:sz w:val="21"/>
          <w:szCs w:val="21"/>
        </w:rPr>
        <w:t xml:space="preserve">Préparation du projet d’acte constitutif.</w:t>
      </w:r>
      <w:r>
        <w:rPr>
          <w:rFonts w:ascii="Calibri" w:cs="Calibri" w:eastAsia="Calibri" w:hAnsi="Calibri"/>
          <w:color w:val="1B2A2C"/>
          <w:sz w:val="21"/>
          <w:szCs w:val="21"/>
        </w:rPr>
        <w:t xml:space="preserve"> Un projet de statuts est élaboré à partir du modèle officiel (décret n° 2022-498) puis approuvé par tous les membres du comité fondateur. Avant toute souscription, il est déposé au greffe du tribunal de première instance du ressort du siège social.</w:t>
      </w:r>
      <w:r>
        <w:rPr>
          <w:rStyle w:val="FootnoteReference"/>
        </w:rPr>
        <w:footnoteReference w:id="56"/>
      </w:r>
      <w:r>
        <w:rPr>
          <w:rStyle w:val="FootnoteReference"/>
        </w:rPr>
        <w:footnoteReference w:id="57"/>
      </w:r>
    </w:p>
    <w:p>
      <w:pPr>
        <w:pStyle w:val="ListParagraph"/>
        <w:numPr>
          <w:ilvl w:val="0"/>
          <w:numId w:val="3"/>
        </w:numPr>
        <w:spacing w:after="90" w:line="270"/>
        <w:jc w:val="both"/>
      </w:pPr>
      <w:r>
        <w:rPr>
          <w:rFonts w:ascii="Calibri" w:cs="Calibri" w:eastAsia="Calibri" w:hAnsi="Calibri"/>
          <w:b/>
          <w:bCs/>
          <w:color w:val="1B2A2C"/>
          <w:sz w:val="21"/>
          <w:szCs w:val="21"/>
        </w:rPr>
        <w:t xml:space="preserve">Publication des informations.</w:t>
      </w:r>
      <w:r>
        <w:rPr>
          <w:rFonts w:ascii="Calibri" w:cs="Calibri" w:eastAsia="Calibri" w:hAnsi="Calibri"/>
          <w:color w:val="1B2A2C"/>
          <w:sz w:val="21"/>
          <w:szCs w:val="21"/>
        </w:rPr>
        <w:t xml:space="preserve"> Avant la souscription, une annonce est publiée au Journal officiel et dans deux journaux quotidiens (dont un en arabe), précisant le montant du capital et les modalités de souscription. Elle est également affichée à la mairie et dans les locaux de l’administration locale.</w:t>
      </w:r>
      <w:r>
        <w:rPr>
          <w:rStyle w:val="FootnoteReference"/>
        </w:rPr>
        <w:footnoteReference w:id="58"/>
      </w:r>
    </w:p>
    <w:p>
      <w:pPr>
        <w:pStyle w:val="ListParagraph"/>
        <w:numPr>
          <w:ilvl w:val="0"/>
          <w:numId w:val="3"/>
        </w:numPr>
        <w:spacing w:after="90" w:line="270"/>
        <w:jc w:val="both"/>
      </w:pPr>
      <w:r>
        <w:rPr>
          <w:rFonts w:ascii="Calibri" w:cs="Calibri" w:eastAsia="Calibri" w:hAnsi="Calibri"/>
          <w:b/>
          <w:bCs/>
          <w:color w:val="1B2A2C"/>
          <w:sz w:val="21"/>
          <w:szCs w:val="21"/>
        </w:rPr>
        <w:t xml:space="preserve">Souscription des parts.</w:t>
      </w:r>
      <w:r>
        <w:rPr>
          <w:rFonts w:ascii="Calibri" w:cs="Calibri" w:eastAsia="Calibri" w:hAnsi="Calibri"/>
          <w:color w:val="1B2A2C"/>
          <w:sz w:val="21"/>
          <w:szCs w:val="21"/>
        </w:rPr>
        <w:t xml:space="preserve"> Les participants s’inscrivent et enregistrent leur contribution dans un carnet de souscription.</w:t>
      </w:r>
      <w:r>
        <w:rPr>
          <w:rStyle w:val="FootnoteReference"/>
        </w:rPr>
        <w:footnoteReference w:id="59"/>
      </w:r>
    </w:p>
    <w:p>
      <w:pPr>
        <w:pStyle w:val="ListParagraph"/>
        <w:numPr>
          <w:ilvl w:val="0"/>
          <w:numId w:val="3"/>
        </w:numPr>
        <w:spacing w:after="90" w:line="270"/>
        <w:jc w:val="both"/>
      </w:pPr>
      <w:r>
        <w:rPr>
          <w:rFonts w:ascii="Calibri" w:cs="Calibri" w:eastAsia="Calibri" w:hAnsi="Calibri"/>
          <w:b/>
          <w:bCs/>
          <w:color w:val="1B2A2C"/>
          <w:sz w:val="21"/>
          <w:szCs w:val="21"/>
        </w:rPr>
        <w:t xml:space="preserve">Convocation de l’assemblée générale constitutive.</w:t>
      </w:r>
      <w:r>
        <w:rPr>
          <w:rFonts w:ascii="Calibri" w:cs="Calibri" w:eastAsia="Calibri" w:hAnsi="Calibri"/>
          <w:color w:val="1B2A2C"/>
          <w:sz w:val="21"/>
          <w:szCs w:val="21"/>
        </w:rPr>
        <w:t xml:space="preserve"> Convocation publiée au Journal officiel et dans deux quotidiens, avec affichage au siège, dans les antennes éventuelles et à la mairie. L’assemblée se tient </w:t>
      </w:r>
      <w:r>
        <w:rPr>
          <w:rFonts w:ascii="Calibri" w:cs="Calibri" w:eastAsia="Calibri" w:hAnsi="Calibri"/>
          <w:b/>
          <w:bCs/>
          <w:color w:val="1B2A2C"/>
          <w:sz w:val="21"/>
          <w:szCs w:val="21"/>
        </w:rPr>
        <w:t xml:space="preserve">au moins 15 jours</w:t>
      </w:r>
      <w:r>
        <w:rPr>
          <w:rFonts w:ascii="Calibri" w:cs="Calibri" w:eastAsia="Calibri" w:hAnsi="Calibri"/>
          <w:color w:val="1B2A2C"/>
          <w:sz w:val="21"/>
          <w:szCs w:val="21"/>
        </w:rPr>
        <w:t xml:space="preserve"> après la publication.</w:t>
      </w:r>
      <w:r>
        <w:rPr>
          <w:rStyle w:val="FootnoteReference"/>
        </w:rPr>
        <w:footnoteReference w:id="60"/>
      </w:r>
    </w:p>
    <w:p>
      <w:pPr>
        <w:pStyle w:val="ListParagraph"/>
        <w:numPr>
          <w:ilvl w:val="0"/>
          <w:numId w:val="3"/>
        </w:numPr>
        <w:spacing w:after="90" w:line="270"/>
        <w:jc w:val="both"/>
      </w:pPr>
      <w:r>
        <w:rPr>
          <w:rFonts w:ascii="Calibri" w:cs="Calibri" w:eastAsia="Calibri" w:hAnsi="Calibri"/>
          <w:b/>
          <w:bCs/>
          <w:color w:val="1B2A2C"/>
          <w:sz w:val="21"/>
          <w:szCs w:val="21"/>
        </w:rPr>
        <w:t xml:space="preserve">Tenue de l’assemblée générale constitutive.</w:t>
      </w:r>
      <w:r>
        <w:rPr>
          <w:rFonts w:ascii="Calibri" w:cs="Calibri" w:eastAsia="Calibri" w:hAnsi="Calibri"/>
          <w:color w:val="1B2A2C"/>
          <w:sz w:val="21"/>
          <w:szCs w:val="21"/>
        </w:rPr>
        <w:t xml:space="preserve"> Elle valide la liste des souscripteurs, approuve le règlement intérieur, examine les apports en nature, désigne le commissaire aux comptes et élit le conseil d’administration.</w:t>
      </w:r>
      <w:r>
        <w:rPr>
          <w:rStyle w:val="FootnoteReference"/>
        </w:rPr>
        <w:footnoteReference w:id="61"/>
      </w:r>
    </w:p>
    <w:p>
      <w:pPr>
        <w:pStyle w:val="ListParagraph"/>
        <w:numPr>
          <w:ilvl w:val="0"/>
          <w:numId w:val="3"/>
        </w:numPr>
        <w:spacing w:after="90" w:line="270"/>
        <w:jc w:val="both"/>
      </w:pPr>
      <w:r>
        <w:rPr>
          <w:rFonts w:ascii="Calibri" w:cs="Calibri" w:eastAsia="Calibri" w:hAnsi="Calibri"/>
          <w:b/>
          <w:bCs/>
          <w:color w:val="1B2A2C"/>
          <w:sz w:val="21"/>
          <w:szCs w:val="21"/>
        </w:rPr>
        <w:t xml:space="preserve">Libération intégrale du capital.</w:t>
      </w:r>
      <w:r>
        <w:rPr>
          <w:rFonts w:ascii="Calibri" w:cs="Calibri" w:eastAsia="Calibri" w:hAnsi="Calibri"/>
          <w:color w:val="1B2A2C"/>
          <w:sz w:val="21"/>
          <w:szCs w:val="21"/>
        </w:rPr>
        <w:t xml:space="preserve"> La totalité du capital souscrit doit être libérée avant de poursuivre les démarches.</w:t>
      </w:r>
      <w:r>
        <w:rPr>
          <w:rStyle w:val="FootnoteReference"/>
        </w:rPr>
        <w:footnoteReference w:id="62"/>
      </w:r>
    </w:p>
    <w:p>
      <w:pPr>
        <w:pStyle w:val="ListParagraph"/>
        <w:numPr>
          <w:ilvl w:val="0"/>
          <w:numId w:val="3"/>
        </w:numPr>
        <w:spacing w:after="90" w:line="270"/>
        <w:jc w:val="both"/>
      </w:pPr>
      <w:r>
        <w:rPr>
          <w:rFonts w:ascii="Calibri" w:cs="Calibri" w:eastAsia="Calibri" w:hAnsi="Calibri"/>
          <w:b/>
          <w:bCs/>
          <w:color w:val="1B2A2C"/>
          <w:sz w:val="21"/>
          <w:szCs w:val="21"/>
        </w:rPr>
        <w:t xml:space="preserve">Obtention de la carte d’identification fiscale (patente).</w:t>
      </w:r>
      <w:r>
        <w:rPr>
          <w:rFonts w:ascii="Calibri" w:cs="Calibri" w:eastAsia="Calibri" w:hAnsi="Calibri"/>
          <w:color w:val="1B2A2C"/>
          <w:sz w:val="21"/>
          <w:szCs w:val="21"/>
        </w:rPr>
        <w:t xml:space="preserve"> Délivrée par la direction des impôts ; l’identification du « bénéficiaire réel » est obligatoire (arrêté gouvernemental n° 54 de 2019).</w:t>
      </w:r>
      <w:r>
        <w:rPr>
          <w:rStyle w:val="FootnoteReference"/>
        </w:rPr>
        <w:footnoteReference w:id="63"/>
      </w:r>
    </w:p>
    <w:p>
      <w:pPr>
        <w:pStyle w:val="ListParagraph"/>
        <w:numPr>
          <w:ilvl w:val="0"/>
          <w:numId w:val="3"/>
        </w:numPr>
        <w:spacing w:after="90" w:line="270"/>
        <w:jc w:val="both"/>
      </w:pPr>
      <w:r>
        <w:rPr>
          <w:rFonts w:ascii="Calibri" w:cs="Calibri" w:eastAsia="Calibri" w:hAnsi="Calibri"/>
          <w:b/>
          <w:bCs/>
          <w:color w:val="1B2A2C"/>
          <w:sz w:val="21"/>
          <w:szCs w:val="21"/>
        </w:rPr>
        <w:t xml:space="preserve">Immatriculation et inscription au registre.</w:t>
      </w:r>
      <w:r>
        <w:rPr>
          <w:rFonts w:ascii="Calibri" w:cs="Calibri" w:eastAsia="Calibri" w:hAnsi="Calibri"/>
          <w:color w:val="1B2A2C"/>
          <w:sz w:val="21"/>
          <w:szCs w:val="21"/>
        </w:rPr>
        <w:t xml:space="preserve"> Dépôt du dossier complet (acte constitutif compris) et inscription au registre national. Depuis 2025, l’inscription au Registre national des sociétés communautaires confère la personnalité morale et un identifiant unique.</w:t>
      </w:r>
      <w:r>
        <w:rPr>
          <w:rStyle w:val="FootnoteReference"/>
        </w:rPr>
        <w:footnoteReference w:id="64"/>
      </w:r>
      <w:r>
        <w:rPr>
          <w:rStyle w:val="FootnoteReference"/>
        </w:rPr>
        <w:footnoteReference w:id="65"/>
      </w:r>
    </w:p>
    <w:p>
      <w:pPr>
        <w:pStyle w:val="ListParagraph"/>
        <w:numPr>
          <w:ilvl w:val="0"/>
          <w:numId w:val="3"/>
        </w:numPr>
        <w:spacing w:after="90" w:line="270"/>
        <w:jc w:val="both"/>
      </w:pPr>
      <w:r>
        <w:rPr>
          <w:rFonts w:ascii="Calibri" w:cs="Calibri" w:eastAsia="Calibri" w:hAnsi="Calibri"/>
          <w:b/>
          <w:bCs/>
          <w:color w:val="1B2A2C"/>
          <w:sz w:val="21"/>
          <w:szCs w:val="21"/>
        </w:rPr>
        <w:t xml:space="preserve">Dépôt auprès de l’autorité de supervision.</w:t>
      </w:r>
      <w:r>
        <w:rPr>
          <w:rFonts w:ascii="Calibri" w:cs="Calibri" w:eastAsia="Calibri" w:hAnsi="Calibri"/>
          <w:color w:val="1B2A2C"/>
          <w:sz w:val="21"/>
          <w:szCs w:val="21"/>
        </w:rPr>
        <w:t xml:space="preserve"> Dépôt d’une copie du système de gestion et d’un extrait du registre auprès du </w:t>
      </w:r>
      <w:r>
        <w:rPr>
          <w:rFonts w:ascii="Calibri" w:cs="Calibri" w:eastAsia="Calibri" w:hAnsi="Calibri"/>
          <w:b/>
          <w:bCs/>
          <w:color w:val="1B2A2C"/>
          <w:sz w:val="21"/>
          <w:szCs w:val="21"/>
        </w:rPr>
        <w:t xml:space="preserve">gouverneur</w:t>
      </w:r>
      <w:r>
        <w:rPr>
          <w:rFonts w:ascii="Calibri" w:cs="Calibri" w:eastAsia="Calibri" w:hAnsi="Calibri"/>
          <w:color w:val="1B2A2C"/>
          <w:sz w:val="21"/>
          <w:szCs w:val="21"/>
        </w:rPr>
        <w:t xml:space="preserve"> (sociétés locales) ou du </w:t>
      </w:r>
      <w:r>
        <w:rPr>
          <w:rFonts w:ascii="Calibri" w:cs="Calibri" w:eastAsia="Calibri" w:hAnsi="Calibri"/>
          <w:b/>
          <w:bCs/>
          <w:color w:val="1B2A2C"/>
          <w:sz w:val="21"/>
          <w:szCs w:val="21"/>
        </w:rPr>
        <w:t xml:space="preserve">ministre chargé de l’économie</w:t>
      </w:r>
      <w:r>
        <w:rPr>
          <w:rFonts w:ascii="Calibri" w:cs="Calibri" w:eastAsia="Calibri" w:hAnsi="Calibri"/>
          <w:color w:val="1B2A2C"/>
          <w:sz w:val="21"/>
          <w:szCs w:val="21"/>
        </w:rPr>
        <w:t xml:space="preserve"> (sociétés régionales).</w:t>
      </w:r>
      <w:r>
        <w:rPr>
          <w:rStyle w:val="FootnoteReference"/>
        </w:rPr>
        <w:footnoteReference w:id="66"/>
      </w:r>
    </w:p>
    <w:p>
      <w:pPr>
        <w:pStyle w:val="Heading2"/>
        <w:spacing w:after="100" w:before="240"/>
      </w:pPr>
      <w:r>
        <w:rPr>
          <w:rFonts w:ascii="Calibri" w:cs="Calibri" w:eastAsia="Calibri" w:hAnsi="Calibri"/>
          <w:b/>
          <w:bCs/>
          <w:color w:val="0C4E54"/>
          <w:sz w:val="25"/>
          <w:szCs w:val="25"/>
        </w:rPr>
        <w:t xml:space="preserve">5.2 Pièces et formalités clés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89"/>
        <w:gridCol w:w="3182"/>
        <w:gridCol w:w="3089"/>
      </w:tblGrid>
      <w:tr>
        <w:trPr>
          <w:cantSplit/>
          <w:tblHeader/>
        </w:trPr>
        <w:tc>
          <w:tcPr>
            <w:tcW w:type="dxa" w:w="3089"/>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Formalité</w:t>
            </w:r>
          </w:p>
        </w:tc>
        <w:tc>
          <w:tcPr>
            <w:tcW w:type="dxa" w:w="3182"/>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Document / livrable</w:t>
            </w:r>
          </w:p>
        </w:tc>
        <w:tc>
          <w:tcPr>
            <w:tcW w:type="dxa" w:w="3089"/>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Autorité concernée</w:t>
            </w:r>
          </w:p>
        </w:tc>
      </w:tr>
      <w:tr>
        <w:trPr>
          <w:cantSplit/>
        </w:trPr>
        <w:tc>
          <w:tcPr>
            <w:tcW w:type="dxa" w:w="308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Constitution du comité</w:t>
            </w:r>
          </w:p>
        </w:tc>
        <w:tc>
          <w:tcPr>
            <w:tcW w:type="dxa" w:w="3182"/>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Procès-verbal de réunion</w:t>
            </w:r>
          </w:p>
        </w:tc>
        <w:tc>
          <w:tcPr>
            <w:tcW w:type="dxa" w:w="308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Comité fondateur</w:t>
            </w:r>
          </w:p>
        </w:tc>
      </w:tr>
      <w:tr>
        <w:trPr>
          <w:cantSplit/>
        </w:trPr>
        <w:tc>
          <w:tcPr>
            <w:tcW w:type="dxa" w:w="3089"/>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Réservation du nom</w:t>
            </w:r>
          </w:p>
        </w:tc>
        <w:tc>
          <w:tcPr>
            <w:tcW w:type="dxa" w:w="3182"/>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Attestation de réservation</w:t>
            </w:r>
          </w:p>
        </w:tc>
        <w:tc>
          <w:tcPr>
            <w:tcW w:type="dxa" w:w="3089"/>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Registre national des entreprises</w:t>
            </w:r>
          </w:p>
        </w:tc>
      </w:tr>
      <w:tr>
        <w:trPr>
          <w:cantSplit/>
        </w:trPr>
        <w:tc>
          <w:tcPr>
            <w:tcW w:type="dxa" w:w="308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Statuts</w:t>
            </w:r>
          </w:p>
        </w:tc>
        <w:tc>
          <w:tcPr>
            <w:tcW w:type="dxa" w:w="3182"/>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Projet d’acte constitutif (modèle 2022-498)</w:t>
            </w:r>
          </w:p>
        </w:tc>
        <w:tc>
          <w:tcPr>
            <w:tcW w:type="dxa" w:w="308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Greffe du tribunal de première instance</w:t>
            </w:r>
          </w:p>
        </w:tc>
      </w:tr>
      <w:tr>
        <w:trPr>
          <w:cantSplit/>
        </w:trPr>
        <w:tc>
          <w:tcPr>
            <w:tcW w:type="dxa" w:w="3089"/>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Publicité légale</w:t>
            </w:r>
          </w:p>
        </w:tc>
        <w:tc>
          <w:tcPr>
            <w:tcW w:type="dxa" w:w="3182"/>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Annonces JORT + 2 quotidiens + affichage</w:t>
            </w:r>
          </w:p>
        </w:tc>
        <w:tc>
          <w:tcPr>
            <w:tcW w:type="dxa" w:w="3089"/>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JORT, presse, mairie</w:t>
            </w:r>
          </w:p>
        </w:tc>
      </w:tr>
      <w:tr>
        <w:trPr>
          <w:cantSplit/>
        </w:trPr>
        <w:tc>
          <w:tcPr>
            <w:tcW w:type="dxa" w:w="308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Souscription</w:t>
            </w:r>
          </w:p>
        </w:tc>
        <w:tc>
          <w:tcPr>
            <w:tcW w:type="dxa" w:w="3182"/>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Carnet de souscription</w:t>
            </w:r>
          </w:p>
        </w:tc>
        <w:tc>
          <w:tcPr>
            <w:tcW w:type="dxa" w:w="308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Fondateurs / participants</w:t>
            </w:r>
          </w:p>
        </w:tc>
      </w:tr>
      <w:tr>
        <w:trPr>
          <w:cantSplit/>
        </w:trPr>
        <w:tc>
          <w:tcPr>
            <w:tcW w:type="dxa" w:w="3089"/>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Fiscalité</w:t>
            </w:r>
          </w:p>
        </w:tc>
        <w:tc>
          <w:tcPr>
            <w:tcW w:type="dxa" w:w="3182"/>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Carte d’identification fiscale + bénéficiaire réel</w:t>
            </w:r>
          </w:p>
        </w:tc>
        <w:tc>
          <w:tcPr>
            <w:tcW w:type="dxa" w:w="3089"/>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Direction des impôts</w:t>
            </w:r>
          </w:p>
        </w:tc>
      </w:tr>
      <w:tr>
        <w:trPr>
          <w:cantSplit/>
        </w:trPr>
        <w:tc>
          <w:tcPr>
            <w:tcW w:type="dxa" w:w="308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Immatriculation</w:t>
            </w:r>
          </w:p>
        </w:tc>
        <w:tc>
          <w:tcPr>
            <w:tcW w:type="dxa" w:w="3182"/>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Dossier complet + acte constitutif</w:t>
            </w:r>
          </w:p>
        </w:tc>
        <w:tc>
          <w:tcPr>
            <w:tcW w:type="dxa" w:w="308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Registre national</w:t>
            </w:r>
          </w:p>
        </w:tc>
      </w:tr>
      <w:tr>
        <w:trPr>
          <w:cantSplit/>
        </w:trPr>
        <w:tc>
          <w:tcPr>
            <w:tcW w:type="dxa" w:w="3089"/>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Supervision</w:t>
            </w:r>
          </w:p>
        </w:tc>
        <w:tc>
          <w:tcPr>
            <w:tcW w:type="dxa" w:w="3182"/>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Système de gestion + extrait de registre</w:t>
            </w:r>
          </w:p>
        </w:tc>
        <w:tc>
          <w:tcPr>
            <w:tcW w:type="dxa" w:w="3089"/>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Gouverneur / ministre de l’économie</w:t>
            </w:r>
          </w:p>
        </w:tc>
      </w:tr>
    </w:tbl>
    <w:tbl>
      <w:tblPr>
        <w:tblW w:type="dxa" w:w="9360"/>
        <w:tblBorders>
          <w:top w:val="single" w:color="EAF1F1" w:sz="1"/>
          <w:left w:val="single" w:color="01696F" w:sz="24"/>
          <w:bottom w:val="single" w:color="EAF1F1" w:sz="1"/>
          <w:right w:val="single" w:color="EAF1F1" w:sz="1"/>
          <w:insideH w:val="none"/>
          <w:insideV w:val="none"/>
        </w:tblBorders>
      </w:tblPr>
      <w:tblGrid>
        <w:gridCol w:w="9360"/>
      </w:tblGrid>
      <w:tr>
        <w:tc>
          <w:tcPr>
            <w:tcW w:type="dxa" w:w="9360"/>
            <w:shd w:fill="EAF1F1" w:color="auto" w:val="clear"/>
            <w:tcMar>
              <w:top w:type="dxa" w:w="120"/>
              <w:left w:type="dxa" w:w="200"/>
              <w:bottom w:type="dxa" w:w="120"/>
              <w:right w:type="dxa" w:w="160"/>
            </w:tcMar>
          </w:tcPr>
          <w:p>
            <w:pPr>
              <w:spacing w:after="60"/>
            </w:pPr>
            <w:r>
              <w:rPr>
                <w:rFonts w:ascii="Calibri" w:cs="Calibri" w:eastAsia="Calibri" w:hAnsi="Calibri"/>
                <w:b/>
                <w:bCs/>
                <w:color w:val="0C4E54"/>
                <w:sz w:val="21"/>
                <w:szCs w:val="21"/>
              </w:rPr>
              <w:t xml:space="preserve">Bonnes pratiques pour réussir la constitution</w:t>
            </w:r>
          </w:p>
          <w:p>
            <w:pPr>
              <w:spacing w:after="60" w:line="264"/>
              <w:jc w:val="both"/>
            </w:pPr>
            <w:r>
              <w:rPr>
                <w:rFonts w:ascii="Calibri" w:cs="Calibri" w:eastAsia="Calibri" w:hAnsi="Calibri"/>
                <w:b/>
                <w:bCs/>
                <w:color w:val="1B2A2C"/>
                <w:sz w:val="20"/>
                <w:szCs w:val="20"/>
              </w:rPr>
              <w:t xml:space="preserve">Cadrer le projet en amont</w:t>
            </w:r>
            <w:r>
              <w:rPr>
                <w:rFonts w:ascii="Calibri" w:cs="Calibri" w:eastAsia="Calibri" w:hAnsi="Calibri"/>
                <w:color w:val="1B2A2C"/>
                <w:sz w:val="20"/>
                <w:szCs w:val="20"/>
              </w:rPr>
              <w:t xml:space="preserve"> : objet social, territoire, modèle économique et étude de faisabilité avant toute formalité.</w:t>
            </w:r>
          </w:p>
          <w:p>
            <w:pPr>
              <w:spacing w:after="60" w:line="264"/>
              <w:jc w:val="both"/>
            </w:pPr>
            <w:r>
              <w:rPr>
                <w:rFonts w:ascii="Calibri" w:cs="Calibri" w:eastAsia="Calibri" w:hAnsi="Calibri"/>
                <w:b/>
                <w:bCs/>
                <w:color w:val="1B2A2C"/>
                <w:sz w:val="20"/>
                <w:szCs w:val="20"/>
              </w:rPr>
              <w:t xml:space="preserve">S’appuyer sur le modèle officiel de statuts</w:t>
            </w:r>
            <w:r>
              <w:rPr>
                <w:rFonts w:ascii="Calibri" w:cs="Calibri" w:eastAsia="Calibri" w:hAnsi="Calibri"/>
                <w:color w:val="1B2A2C"/>
                <w:sz w:val="20"/>
                <w:szCs w:val="20"/>
              </w:rPr>
              <w:t xml:space="preserve"> pour gagner du temps et limiter les rejets au greffe.</w:t>
            </w:r>
          </w:p>
          <w:p>
            <w:pPr>
              <w:spacing w:after="60" w:line="264"/>
              <w:jc w:val="both"/>
            </w:pPr>
            <w:r>
              <w:rPr>
                <w:rFonts w:ascii="Calibri" w:cs="Calibri" w:eastAsia="Calibri" w:hAnsi="Calibri"/>
                <w:b/>
                <w:bCs/>
                <w:color w:val="1B2A2C"/>
                <w:sz w:val="20"/>
                <w:szCs w:val="20"/>
              </w:rPr>
              <w:t xml:space="preserve">Anticiper les délais de publicité</w:t>
            </w:r>
            <w:r>
              <w:rPr>
                <w:rFonts w:ascii="Calibri" w:cs="Calibri" w:eastAsia="Calibri" w:hAnsi="Calibri"/>
                <w:color w:val="1B2A2C"/>
                <w:sz w:val="20"/>
                <w:szCs w:val="20"/>
              </w:rPr>
              <w:t xml:space="preserve"> (au moins 15 jours entre l’annonce et l’assemblée constitutive).</w:t>
            </w:r>
          </w:p>
          <w:p>
            <w:pPr>
              <w:spacing w:after="60" w:line="264"/>
              <w:jc w:val="both"/>
            </w:pPr>
            <w:r>
              <w:rPr>
                <w:rFonts w:ascii="Calibri" w:cs="Calibri" w:eastAsia="Calibri" w:hAnsi="Calibri"/>
                <w:b/>
                <w:bCs/>
                <w:color w:val="1B2A2C"/>
                <w:sz w:val="20"/>
                <w:szCs w:val="20"/>
              </w:rPr>
              <w:t xml:space="preserve">Sécuriser le financement</w:t>
            </w:r>
            <w:r>
              <w:rPr>
                <w:rFonts w:ascii="Calibri" w:cs="Calibri" w:eastAsia="Calibri" w:hAnsi="Calibri"/>
                <w:color w:val="1B2A2C"/>
                <w:sz w:val="20"/>
                <w:szCs w:val="20"/>
              </w:rPr>
              <w:t xml:space="preserve"> en parallèle des démarches juridiques (banque, ligne dédiée, garantie).</w:t>
            </w:r>
          </w:p>
          <w:p>
            <w:pPr>
              <w:spacing w:after="0" w:line="264"/>
              <w:jc w:val="both"/>
            </w:pPr>
            <w:r>
              <w:rPr>
                <w:rFonts w:ascii="Calibri" w:cs="Calibri" w:eastAsia="Calibri" w:hAnsi="Calibri"/>
                <w:b/>
                <w:bCs/>
                <w:color w:val="1B2A2C"/>
                <w:sz w:val="20"/>
                <w:szCs w:val="20"/>
              </w:rPr>
              <w:t xml:space="preserve">Se faire accompagner</w:t>
            </w:r>
            <w:r>
              <w:rPr>
                <w:rFonts w:ascii="Calibri" w:cs="Calibri" w:eastAsia="Calibri" w:hAnsi="Calibri"/>
                <w:color w:val="1B2A2C"/>
                <w:sz w:val="20"/>
                <w:szCs w:val="20"/>
              </w:rPr>
              <w:t xml:space="preserve"> par un expert-comptable et un avocat pour la rédaction et la conformité.</w:t>
            </w:r>
          </w:p>
        </w:tc>
      </w:tr>
    </w:tbl>
    <w:p>
      <w:pPr>
        <w:pStyle w:val="Heading1"/>
        <w:pageBreakBefore/>
        <w:pBdr>
          <w:bottom w:val="single" w:color="01696F" w:sz="12" w:space="6"/>
        </w:pBdr>
        <w:spacing w:after="60" w:before="120"/>
      </w:pPr>
      <w:r>
        <w:rPr>
          <w:rFonts w:ascii="Calibri" w:cs="Calibri" w:eastAsia="Calibri" w:hAnsi="Calibri"/>
          <w:b/>
          <w:bCs/>
          <w:color w:val="0C4E54"/>
          <w:sz w:val="32"/>
          <w:szCs w:val="32"/>
        </w:rPr>
        <w:t xml:space="preserve">6. Régime fiscal et avantages</w:t>
      </w:r>
    </w:p>
    <w:p>
      <w:pPr>
        <w:spacing w:after="160" w:line="290"/>
        <w:jc w:val="both"/>
      </w:pPr>
      <w:r>
        <w:rPr>
          <w:rFonts w:ascii="Calibri" w:cs="Calibri" w:eastAsia="Calibri" w:hAnsi="Calibri"/>
          <w:color w:val="1B2A2C"/>
          <w:sz w:val="22"/>
          <w:szCs w:val="22"/>
        </w:rPr>
        <w:t xml:space="preserve">Le régime fiscal constitue l’un des principaux leviers d’attractivité des sociétés communautaires. Il combine une exonération large et temporaire avec un régime de suspension de TVA, tout en maintenant des obligations déclaratives strictes.</w:t>
      </w:r>
    </w:p>
    <w:p>
      <w:pPr>
        <w:pStyle w:val="Heading2"/>
        <w:spacing w:after="100" w:before="240"/>
      </w:pPr>
      <w:r>
        <w:rPr>
          <w:rFonts w:ascii="Calibri" w:cs="Calibri" w:eastAsia="Calibri" w:hAnsi="Calibri"/>
          <w:b/>
          <w:bCs/>
          <w:color w:val="0C4E54"/>
          <w:sz w:val="25"/>
          <w:szCs w:val="25"/>
        </w:rPr>
        <w:t xml:space="preserve">6.1 Une exonération fiscale de dix ans</w:t>
      </w:r>
    </w:p>
    <w:p>
      <w:pPr>
        <w:spacing w:after="140" w:before="0" w:line="276"/>
        <w:jc w:val="both"/>
      </w:pPr>
      <w:r>
        <w:rPr>
          <w:rFonts w:ascii="Calibri" w:cs="Calibri" w:eastAsia="Calibri" w:hAnsi="Calibri"/>
          <w:color w:val="1B2A2C"/>
          <w:sz w:val="21"/>
          <w:szCs w:val="21"/>
        </w:rPr>
        <w:t xml:space="preserve">Selon les articles 70 et 70 bis du décret-loi n° 2025-3 (qui consolident l’avantage initialement prévu par l’article 92 du décret-loi de 2022), les sociétés communautaires bénéficient d’une </w:t>
      </w:r>
      <w:r>
        <w:rPr>
          <w:rFonts w:ascii="Calibri" w:cs="Calibri" w:eastAsia="Calibri" w:hAnsi="Calibri"/>
          <w:b/>
          <w:bCs/>
          <w:color w:val="1B2A2C"/>
          <w:sz w:val="21"/>
          <w:szCs w:val="21"/>
        </w:rPr>
        <w:t xml:space="preserve">exonération des impôts et taxes prévus par la législation fiscale en vigueur pendant une période de dix ans à compter de la date de création</w:t>
      </w:r>
      <w:r>
        <w:rPr>
          <w:rFonts w:ascii="Calibri" w:cs="Calibri" w:eastAsia="Calibri" w:hAnsi="Calibri"/>
          <w:color w:val="1B2A2C"/>
          <w:sz w:val="21"/>
          <w:szCs w:val="21"/>
        </w:rPr>
        <w:t xml:space="preserve">.</w:t>
      </w:r>
      <w:r>
        <w:rPr>
          <w:rStyle w:val="FootnoteReference"/>
        </w:rPr>
        <w:footnoteReference w:id="67"/>
      </w:r>
      <w:r>
        <w:rPr>
          <w:rStyle w:val="FootnoteReference"/>
        </w:rPr>
        <w:footnoteReference w:id="68"/>
      </w:r>
      <w:r>
        <w:rPr>
          <w:rFonts w:ascii="Calibri" w:cs="Calibri" w:eastAsia="Calibri" w:hAnsi="Calibri"/>
          <w:color w:val="1B2A2C"/>
          <w:sz w:val="21"/>
          <w:szCs w:val="21"/>
        </w:rPr>
        <w:t xml:space="preserve"> Il s’agit d’une </w:t>
      </w:r>
      <w:r>
        <w:rPr>
          <w:rFonts w:ascii="Calibri" w:cs="Calibri" w:eastAsia="Calibri" w:hAnsi="Calibri"/>
          <w:b/>
          <w:bCs/>
          <w:color w:val="1B2A2C"/>
          <w:sz w:val="21"/>
          <w:szCs w:val="21"/>
        </w:rPr>
        <w:t xml:space="preserve">exonération totale</w:t>
      </w:r>
      <w:r>
        <w:rPr>
          <w:rFonts w:ascii="Calibri" w:cs="Calibri" w:eastAsia="Calibri" w:hAnsi="Calibri"/>
          <w:color w:val="1B2A2C"/>
          <w:sz w:val="21"/>
          <w:szCs w:val="21"/>
        </w:rPr>
        <w:t xml:space="preserve">, qui profite à la fois :</w:t>
      </w:r>
    </w:p>
    <w:p>
      <w:pPr>
        <w:pStyle w:val="ListParagraph"/>
        <w:numPr>
          <w:ilvl w:val="0"/>
          <w:numId w:val="2"/>
        </w:numPr>
        <w:spacing w:after="70" w:line="268"/>
        <w:jc w:val="both"/>
      </w:pPr>
      <w:r>
        <w:rPr>
          <w:rFonts w:ascii="Calibri" w:cs="Calibri" w:eastAsia="Calibri" w:hAnsi="Calibri"/>
          <w:color w:val="1B2A2C"/>
          <w:sz w:val="21"/>
          <w:szCs w:val="21"/>
        </w:rPr>
        <w:t xml:space="preserve">à la </w:t>
      </w:r>
      <w:r>
        <w:rPr>
          <w:rFonts w:ascii="Calibri" w:cs="Calibri" w:eastAsia="Calibri" w:hAnsi="Calibri"/>
          <w:b/>
          <w:bCs/>
          <w:color w:val="1B2A2C"/>
          <w:sz w:val="21"/>
          <w:szCs w:val="21"/>
        </w:rPr>
        <w:t xml:space="preserve">personne morale</w:t>
      </w:r>
      <w:r>
        <w:rPr>
          <w:rFonts w:ascii="Calibri" w:cs="Calibri" w:eastAsia="Calibri" w:hAnsi="Calibri"/>
          <w:color w:val="1B2A2C"/>
          <w:sz w:val="21"/>
          <w:szCs w:val="21"/>
        </w:rPr>
        <w:t xml:space="preserve"> (la société elle-même) ;</w:t>
      </w:r>
    </w:p>
    <w:p>
      <w:pPr>
        <w:pStyle w:val="ListParagraph"/>
        <w:numPr>
          <w:ilvl w:val="0"/>
          <w:numId w:val="2"/>
        </w:numPr>
        <w:spacing w:after="70" w:line="268"/>
        <w:jc w:val="both"/>
      </w:pPr>
      <w:r>
        <w:rPr>
          <w:rFonts w:ascii="Calibri" w:cs="Calibri" w:eastAsia="Calibri" w:hAnsi="Calibri"/>
          <w:color w:val="1B2A2C"/>
          <w:sz w:val="21"/>
          <w:szCs w:val="21"/>
        </w:rPr>
        <w:t xml:space="preserve">à la </w:t>
      </w:r>
      <w:r>
        <w:rPr>
          <w:rFonts w:ascii="Calibri" w:cs="Calibri" w:eastAsia="Calibri" w:hAnsi="Calibri"/>
          <w:b/>
          <w:bCs/>
          <w:color w:val="1B2A2C"/>
          <w:sz w:val="21"/>
          <w:szCs w:val="21"/>
        </w:rPr>
        <w:t xml:space="preserve">personne physique</w:t>
      </w:r>
      <w:r>
        <w:rPr>
          <w:rFonts w:ascii="Calibri" w:cs="Calibri" w:eastAsia="Calibri" w:hAnsi="Calibri"/>
          <w:color w:val="1B2A2C"/>
          <w:sz w:val="21"/>
          <w:szCs w:val="21"/>
        </w:rPr>
        <w:t xml:space="preserve"> participant au capital de la société communautaire.</w:t>
      </w:r>
      <w:r>
        <w:rPr>
          <w:rStyle w:val="FootnoteReference"/>
        </w:rPr>
        <w:footnoteReference w:id="69"/>
      </w:r>
    </w:p>
    <w:p>
      <w:pPr>
        <w:spacing w:after="140" w:before="0" w:line="276"/>
        <w:jc w:val="both"/>
      </w:pPr>
      <w:r>
        <w:rPr>
          <w:rFonts w:ascii="Calibri" w:cs="Calibri" w:eastAsia="Calibri" w:hAnsi="Calibri"/>
          <w:color w:val="1B2A2C"/>
          <w:sz w:val="21"/>
          <w:szCs w:val="21"/>
        </w:rPr>
        <w:t xml:space="preserve">La note rappelle que cet avantage, tel que rappelé par la Direction générale des études et de la législation fiscale, couvre notamment :</w:t>
      </w:r>
      <w:r>
        <w:rPr>
          <w:rStyle w:val="FootnoteReference"/>
        </w:rPr>
        <w:footnoteReference w:id="70"/>
      </w:r>
    </w:p>
    <w:p>
      <w:pPr>
        <w:pStyle w:val="ListParagraph"/>
        <w:numPr>
          <w:ilvl w:val="0"/>
          <w:numId w:val="2"/>
        </w:numPr>
        <w:spacing w:after="70" w:line="268"/>
        <w:jc w:val="both"/>
      </w:pPr>
      <w:r>
        <w:rPr>
          <w:rFonts w:ascii="Calibri" w:cs="Calibri" w:eastAsia="Calibri" w:hAnsi="Calibri"/>
          <w:color w:val="1B2A2C"/>
          <w:sz w:val="21"/>
          <w:szCs w:val="21"/>
        </w:rPr>
        <w:t xml:space="preserve">l’</w:t>
      </w:r>
      <w:r>
        <w:rPr>
          <w:rFonts w:ascii="Calibri" w:cs="Calibri" w:eastAsia="Calibri" w:hAnsi="Calibri"/>
          <w:b/>
          <w:bCs/>
          <w:color w:val="1B2A2C"/>
          <w:sz w:val="21"/>
          <w:szCs w:val="21"/>
        </w:rPr>
        <w:t xml:space="preserve">exonération de l’impôt sur les bénéfices</w:t>
      </w:r>
      <w:r>
        <w:rPr>
          <w:rFonts w:ascii="Calibri" w:cs="Calibri" w:eastAsia="Calibri" w:hAnsi="Calibri"/>
          <w:color w:val="1B2A2C"/>
          <w:sz w:val="21"/>
          <w:szCs w:val="21"/>
        </w:rPr>
        <w:t xml:space="preserve"> (impôt sur les sociétés) ;</w:t>
      </w:r>
    </w:p>
    <w:p>
      <w:pPr>
        <w:pStyle w:val="ListParagraph"/>
        <w:numPr>
          <w:ilvl w:val="0"/>
          <w:numId w:val="2"/>
        </w:numPr>
        <w:spacing w:after="70" w:line="268"/>
        <w:jc w:val="both"/>
      </w:pPr>
      <w:r>
        <w:rPr>
          <w:rFonts w:ascii="Calibri" w:cs="Calibri" w:eastAsia="Calibri" w:hAnsi="Calibri"/>
          <w:color w:val="1B2A2C"/>
          <w:sz w:val="21"/>
          <w:szCs w:val="21"/>
        </w:rPr>
        <w:t xml:space="preserve">l’</w:t>
      </w:r>
      <w:r>
        <w:rPr>
          <w:rFonts w:ascii="Calibri" w:cs="Calibri" w:eastAsia="Calibri" w:hAnsi="Calibri"/>
          <w:b/>
          <w:bCs/>
          <w:color w:val="1B2A2C"/>
          <w:sz w:val="21"/>
          <w:szCs w:val="21"/>
        </w:rPr>
        <w:t xml:space="preserve">exonération de la TVA</w:t>
      </w:r>
      <w:r>
        <w:rPr>
          <w:rFonts w:ascii="Calibri" w:cs="Calibri" w:eastAsia="Calibri" w:hAnsi="Calibri"/>
          <w:color w:val="1B2A2C"/>
          <w:sz w:val="21"/>
          <w:szCs w:val="21"/>
        </w:rPr>
        <w:t xml:space="preserve"> et, le cas échéant, du droit de consommation ;</w:t>
      </w:r>
    </w:p>
    <w:p>
      <w:pPr>
        <w:pStyle w:val="ListParagraph"/>
        <w:numPr>
          <w:ilvl w:val="0"/>
          <w:numId w:val="2"/>
        </w:numPr>
        <w:spacing w:after="70" w:line="268"/>
        <w:jc w:val="both"/>
      </w:pPr>
      <w:r>
        <w:rPr>
          <w:rFonts w:ascii="Calibri" w:cs="Calibri" w:eastAsia="Calibri" w:hAnsi="Calibri"/>
          <w:color w:val="1B2A2C"/>
          <w:sz w:val="21"/>
          <w:szCs w:val="21"/>
        </w:rPr>
        <w:t xml:space="preserve">l’</w:t>
      </w:r>
      <w:r>
        <w:rPr>
          <w:rFonts w:ascii="Calibri" w:cs="Calibri" w:eastAsia="Calibri" w:hAnsi="Calibri"/>
          <w:b/>
          <w:bCs/>
          <w:color w:val="1B2A2C"/>
          <w:sz w:val="21"/>
          <w:szCs w:val="21"/>
        </w:rPr>
        <w:t xml:space="preserve">exemption de la taxe de formation professionnelle (TFP)</w:t>
      </w:r>
      <w:r>
        <w:rPr>
          <w:rFonts w:ascii="Calibri" w:cs="Calibri" w:eastAsia="Calibri" w:hAnsi="Calibri"/>
          <w:color w:val="1B2A2C"/>
          <w:sz w:val="21"/>
          <w:szCs w:val="21"/>
        </w:rPr>
        <w:t xml:space="preserve"> ;</w:t>
      </w:r>
    </w:p>
    <w:p>
      <w:pPr>
        <w:pStyle w:val="ListParagraph"/>
        <w:numPr>
          <w:ilvl w:val="0"/>
          <w:numId w:val="2"/>
        </w:numPr>
        <w:spacing w:after="70" w:line="268"/>
        <w:jc w:val="both"/>
      </w:pPr>
      <w:r>
        <w:rPr>
          <w:rFonts w:ascii="Calibri" w:cs="Calibri" w:eastAsia="Calibri" w:hAnsi="Calibri"/>
          <w:color w:val="1B2A2C"/>
          <w:sz w:val="21"/>
          <w:szCs w:val="21"/>
        </w:rPr>
        <w:t xml:space="preserve">l’</w:t>
      </w:r>
      <w:r>
        <w:rPr>
          <w:rFonts w:ascii="Calibri" w:cs="Calibri" w:eastAsia="Calibri" w:hAnsi="Calibri"/>
          <w:b/>
          <w:bCs/>
          <w:color w:val="1B2A2C"/>
          <w:sz w:val="21"/>
          <w:szCs w:val="21"/>
        </w:rPr>
        <w:t xml:space="preserve">exonération de la contribution au Fonds de promotion du logement pour les salariés (FOPROLOS)</w:t>
      </w:r>
      <w:r>
        <w:rPr>
          <w:rFonts w:ascii="Calibri" w:cs="Calibri" w:eastAsia="Calibri" w:hAnsi="Calibri"/>
          <w:color w:val="1B2A2C"/>
          <w:sz w:val="21"/>
          <w:szCs w:val="21"/>
        </w:rPr>
        <w:t xml:space="preserve"> ;</w:t>
      </w:r>
    </w:p>
    <w:p>
      <w:pPr>
        <w:pStyle w:val="ListParagraph"/>
        <w:numPr>
          <w:ilvl w:val="0"/>
          <w:numId w:val="2"/>
        </w:numPr>
        <w:spacing w:after="70" w:line="268"/>
        <w:jc w:val="both"/>
      </w:pPr>
      <w:r>
        <w:rPr>
          <w:rFonts w:ascii="Calibri" w:cs="Calibri" w:eastAsia="Calibri" w:hAnsi="Calibri"/>
          <w:color w:val="1B2A2C"/>
          <w:sz w:val="21"/>
          <w:szCs w:val="21"/>
        </w:rPr>
        <w:t xml:space="preserve">l’</w:t>
      </w:r>
      <w:r>
        <w:rPr>
          <w:rFonts w:ascii="Calibri" w:cs="Calibri" w:eastAsia="Calibri" w:hAnsi="Calibri"/>
          <w:b/>
          <w:bCs/>
          <w:color w:val="1B2A2C"/>
          <w:sz w:val="21"/>
          <w:szCs w:val="21"/>
        </w:rPr>
        <w:t xml:space="preserve">exemption des droits d’enregistrement</w:t>
      </w:r>
      <w:r>
        <w:rPr>
          <w:rFonts w:ascii="Calibri" w:cs="Calibri" w:eastAsia="Calibri" w:hAnsi="Calibri"/>
          <w:color w:val="1B2A2C"/>
          <w:sz w:val="21"/>
          <w:szCs w:val="21"/>
        </w:rPr>
        <w:t xml:space="preserve"> et du droit de timbre sur les contrats, écrits et documents conclus par la société.</w:t>
      </w:r>
      <w:r>
        <w:rPr>
          <w:rStyle w:val="FootnoteReference"/>
        </w:rPr>
        <w:footnoteReference w:id="71"/>
      </w:r>
    </w:p>
    <w:p>
      <w:pPr>
        <w:pStyle w:val="Heading2"/>
        <w:spacing w:after="100" w:before="240"/>
      </w:pPr>
      <w:r>
        <w:rPr>
          <w:rFonts w:ascii="Calibri" w:cs="Calibri" w:eastAsia="Calibri" w:hAnsi="Calibri"/>
          <w:b/>
          <w:bCs/>
          <w:color w:val="0C4E54"/>
          <w:sz w:val="25"/>
          <w:szCs w:val="25"/>
        </w:rPr>
        <w:t xml:space="preserve">6.2 La suspension de TVA</w:t>
      </w:r>
    </w:p>
    <w:p>
      <w:pPr>
        <w:spacing w:after="140" w:before="0" w:line="276"/>
        <w:jc w:val="both"/>
      </w:pPr>
      <w:r>
        <w:rPr>
          <w:rFonts w:ascii="Calibri" w:cs="Calibri" w:eastAsia="Calibri" w:hAnsi="Calibri"/>
          <w:color w:val="1B2A2C"/>
          <w:sz w:val="21"/>
          <w:szCs w:val="21"/>
        </w:rPr>
        <w:t xml:space="preserve">Indépendamment de l’exonération générale, l’article 56 de la loi de finances 2025 (codifié à l’article 13 septies du code de la TVA) instaure un régime de </w:t>
      </w:r>
      <w:r>
        <w:rPr>
          <w:rFonts w:ascii="Calibri" w:cs="Calibri" w:eastAsia="Calibri" w:hAnsi="Calibri"/>
          <w:b/>
          <w:bCs/>
          <w:color w:val="1B2A2C"/>
          <w:sz w:val="21"/>
          <w:szCs w:val="21"/>
        </w:rPr>
        <w:t xml:space="preserve">suspension de la TVA</w:t>
      </w:r>
      <w:r>
        <w:rPr>
          <w:rFonts w:ascii="Calibri" w:cs="Calibri" w:eastAsia="Calibri" w:hAnsi="Calibri"/>
          <w:color w:val="1B2A2C"/>
          <w:sz w:val="21"/>
          <w:szCs w:val="21"/>
        </w:rPr>
        <w:t xml:space="preserve">. Bénéficient de cette suspension les </w:t>
      </w:r>
      <w:r>
        <w:rPr>
          <w:rFonts w:ascii="Calibri" w:cs="Calibri" w:eastAsia="Calibri" w:hAnsi="Calibri"/>
          <w:b/>
          <w:bCs/>
          <w:color w:val="1B2A2C"/>
          <w:sz w:val="21"/>
          <w:szCs w:val="21"/>
        </w:rPr>
        <w:t xml:space="preserve">opérations d’importation et d’acquisition locale d’équipements, matériels, matières, produits, services et immeubles nécessaires à l’activité</w:t>
      </w:r>
      <w:r>
        <w:rPr>
          <w:rFonts w:ascii="Calibri" w:cs="Calibri" w:eastAsia="Calibri" w:hAnsi="Calibri"/>
          <w:color w:val="1B2A2C"/>
          <w:sz w:val="21"/>
          <w:szCs w:val="21"/>
        </w:rPr>
        <w:t xml:space="preserve"> de la société communautaire, pour une période de </w:t>
      </w:r>
      <w:r>
        <w:rPr>
          <w:rFonts w:ascii="Calibri" w:cs="Calibri" w:eastAsia="Calibri" w:hAnsi="Calibri"/>
          <w:b/>
          <w:bCs/>
          <w:color w:val="1B2A2C"/>
          <w:sz w:val="21"/>
          <w:szCs w:val="21"/>
        </w:rPr>
        <w:t xml:space="preserve">dix ans à compter de la date de création</w:t>
      </w:r>
      <w:r>
        <w:rPr>
          <w:rFonts w:ascii="Calibri" w:cs="Calibri" w:eastAsia="Calibri" w:hAnsi="Calibri"/>
          <w:color w:val="1B2A2C"/>
          <w:sz w:val="21"/>
          <w:szCs w:val="21"/>
        </w:rPr>
        <w:t xml:space="preserve">.</w:t>
      </w:r>
      <w:r>
        <w:rPr>
          <w:rStyle w:val="FootnoteReference"/>
        </w:rPr>
        <w:footnoteReference w:id="72"/>
      </w:r>
    </w:p>
    <w:p>
      <w:pPr>
        <w:spacing w:after="140" w:before="0" w:line="276"/>
        <w:jc w:val="both"/>
      </w:pPr>
      <w:r>
        <w:rPr>
          <w:rFonts w:ascii="Calibri" w:cs="Calibri" w:eastAsia="Calibri" w:hAnsi="Calibri"/>
          <w:color w:val="1B2A2C"/>
          <w:sz w:val="21"/>
          <w:szCs w:val="21"/>
        </w:rPr>
        <w:t xml:space="preserve">Pour les acquisitions locales, l’avantage est accordé sur la base d’une </w:t>
      </w:r>
      <w:r>
        <w:rPr>
          <w:rFonts w:ascii="Calibri" w:cs="Calibri" w:eastAsia="Calibri" w:hAnsi="Calibri"/>
          <w:b/>
          <w:bCs/>
          <w:color w:val="1B2A2C"/>
          <w:sz w:val="21"/>
          <w:szCs w:val="21"/>
        </w:rPr>
        <w:t xml:space="preserve">attestation générale ou ponctuelle</w:t>
      </w:r>
      <w:r>
        <w:rPr>
          <w:rFonts w:ascii="Calibri" w:cs="Calibri" w:eastAsia="Calibri" w:hAnsi="Calibri"/>
          <w:color w:val="1B2A2C"/>
          <w:sz w:val="21"/>
          <w:szCs w:val="21"/>
        </w:rPr>
        <w:t xml:space="preserve"> délivrée par le service fiscal compétent.</w:t>
      </w:r>
      <w:r>
        <w:rPr>
          <w:rStyle w:val="FootnoteReference"/>
        </w:rPr>
        <w:footnoteReference w:id="73"/>
      </w:r>
      <w:r>
        <w:rPr>
          <w:rFonts w:ascii="Calibri" w:cs="Calibri" w:eastAsia="Calibri" w:hAnsi="Calibri"/>
          <w:color w:val="1B2A2C"/>
          <w:sz w:val="21"/>
          <w:szCs w:val="21"/>
        </w:rPr>
        <w:t xml:space="preserve"> Comme le souligne la doctrine, la suspension n’est pas une exonération permanente mais un régime préférentiel destiné à réduire le coût d’investissement au démarrage.</w:t>
      </w:r>
      <w:r>
        <w:rPr>
          <w:rStyle w:val="FootnoteReference"/>
        </w:rPr>
        <w:footnoteReference w:id="74"/>
      </w:r>
    </w:p>
    <w:p>
      <w:pPr>
        <w:pStyle w:val="Heading2"/>
        <w:spacing w:after="100" w:before="240"/>
      </w:pPr>
      <w:r>
        <w:rPr>
          <w:rFonts w:ascii="Calibri" w:cs="Calibri" w:eastAsia="Calibri" w:hAnsi="Calibri"/>
          <w:b/>
          <w:bCs/>
          <w:color w:val="0C4E54"/>
          <w:sz w:val="25"/>
          <w:szCs w:val="25"/>
        </w:rPr>
        <w:t xml:space="preserve">6.3 Tableau de synthèse des avantages fiscaux</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8"/>
        <w:gridCol w:w="2621"/>
        <w:gridCol w:w="1498"/>
        <w:gridCol w:w="2433"/>
      </w:tblGrid>
      <w:tr>
        <w:trPr>
          <w:cantSplit/>
          <w:tblHeader/>
        </w:trPr>
        <w:tc>
          <w:tcPr>
            <w:tcW w:type="dxa" w:w="2808"/>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Impôt / taxe</w:t>
            </w:r>
          </w:p>
        </w:tc>
        <w:tc>
          <w:tcPr>
            <w:tcW w:type="dxa" w:w="2621"/>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Traitement</w:t>
            </w:r>
          </w:p>
        </w:tc>
        <w:tc>
          <w:tcPr>
            <w:tcW w:type="dxa" w:w="1498"/>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Durée</w:t>
            </w:r>
          </w:p>
        </w:tc>
        <w:tc>
          <w:tcPr>
            <w:tcW w:type="dxa" w:w="2433"/>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Base légale</w:t>
            </w:r>
          </w:p>
        </w:tc>
      </w:tr>
      <w:tr>
        <w:trPr>
          <w:cantSplit/>
        </w:trPr>
        <w:tc>
          <w:tcPr>
            <w:tcW w:type="dxa" w:w="280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Impôt sur les sociétés (IS)</w:t>
            </w:r>
          </w:p>
        </w:tc>
        <w:tc>
          <w:tcPr>
            <w:tcW w:type="dxa" w:w="2621"/>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Exonération totale</w:t>
            </w:r>
          </w:p>
        </w:tc>
        <w:tc>
          <w:tcPr>
            <w:tcW w:type="dxa" w:w="149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10 ans</w:t>
            </w:r>
          </w:p>
        </w:tc>
        <w:tc>
          <w:tcPr>
            <w:tcW w:type="dxa" w:w="2433"/>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Art. 70 / 70 bis ; art. 92 (2022)</w:t>
            </w:r>
          </w:p>
        </w:tc>
      </w:tr>
      <w:tr>
        <w:trPr>
          <w:cantSplit/>
        </w:trPr>
        <w:tc>
          <w:tcPr>
            <w:tcW w:type="dxa" w:w="2808"/>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IRPP du participant</w:t>
            </w:r>
          </w:p>
        </w:tc>
        <w:tc>
          <w:tcPr>
            <w:tcW w:type="dxa" w:w="2621"/>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Exonération totale</w:t>
            </w:r>
          </w:p>
        </w:tc>
        <w:tc>
          <w:tcPr>
            <w:tcW w:type="dxa" w:w="1498"/>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10 ans</w:t>
            </w:r>
          </w:p>
        </w:tc>
        <w:tc>
          <w:tcPr>
            <w:tcW w:type="dxa" w:w="2433"/>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Art. 70 bis</w:t>
            </w:r>
          </w:p>
        </w:tc>
      </w:tr>
      <w:tr>
        <w:trPr>
          <w:cantSplit/>
        </w:trPr>
        <w:tc>
          <w:tcPr>
            <w:tcW w:type="dxa" w:w="280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TVA — activité courante</w:t>
            </w:r>
          </w:p>
        </w:tc>
        <w:tc>
          <w:tcPr>
            <w:tcW w:type="dxa" w:w="2621"/>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Exonération</w:t>
            </w:r>
          </w:p>
        </w:tc>
        <w:tc>
          <w:tcPr>
            <w:tcW w:type="dxa" w:w="149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10 ans</w:t>
            </w:r>
          </w:p>
        </w:tc>
        <w:tc>
          <w:tcPr>
            <w:tcW w:type="dxa" w:w="2433"/>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Art. 70 bis ; LF 2025</w:t>
            </w:r>
          </w:p>
        </w:tc>
      </w:tr>
      <w:tr>
        <w:trPr>
          <w:cantSplit/>
        </w:trPr>
        <w:tc>
          <w:tcPr>
            <w:tcW w:type="dxa" w:w="2808"/>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TVA — équipements / intrants</w:t>
            </w:r>
          </w:p>
        </w:tc>
        <w:tc>
          <w:tcPr>
            <w:tcW w:type="dxa" w:w="2621"/>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Suspension (attestation)</w:t>
            </w:r>
          </w:p>
        </w:tc>
        <w:tc>
          <w:tcPr>
            <w:tcW w:type="dxa" w:w="1498"/>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10 ans</w:t>
            </w:r>
          </w:p>
        </w:tc>
        <w:tc>
          <w:tcPr>
            <w:tcW w:type="dxa" w:w="2433"/>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LF 2025, art. 56 ; art. 13 septies</w:t>
            </w:r>
          </w:p>
        </w:tc>
      </w:tr>
      <w:tr>
        <w:trPr>
          <w:cantSplit/>
        </w:trPr>
        <w:tc>
          <w:tcPr>
            <w:tcW w:type="dxa" w:w="280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Taxe de formation prof. (TFP)</w:t>
            </w:r>
          </w:p>
        </w:tc>
        <w:tc>
          <w:tcPr>
            <w:tcW w:type="dxa" w:w="2621"/>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Exemption</w:t>
            </w:r>
          </w:p>
        </w:tc>
        <w:tc>
          <w:tcPr>
            <w:tcW w:type="dxa" w:w="149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10 ans</w:t>
            </w:r>
          </w:p>
        </w:tc>
        <w:tc>
          <w:tcPr>
            <w:tcW w:type="dxa" w:w="2433"/>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Art. 92 (2022)</w:t>
            </w:r>
          </w:p>
        </w:tc>
      </w:tr>
      <w:tr>
        <w:trPr>
          <w:cantSplit/>
        </w:trPr>
        <w:tc>
          <w:tcPr>
            <w:tcW w:type="dxa" w:w="2808"/>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Contribution FOPROLOS</w:t>
            </w:r>
          </w:p>
        </w:tc>
        <w:tc>
          <w:tcPr>
            <w:tcW w:type="dxa" w:w="2621"/>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Exonération</w:t>
            </w:r>
          </w:p>
        </w:tc>
        <w:tc>
          <w:tcPr>
            <w:tcW w:type="dxa" w:w="1498"/>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10 ans</w:t>
            </w:r>
          </w:p>
        </w:tc>
        <w:tc>
          <w:tcPr>
            <w:tcW w:type="dxa" w:w="2433"/>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Art. 92 (2022)</w:t>
            </w:r>
          </w:p>
        </w:tc>
      </w:tr>
      <w:tr>
        <w:trPr>
          <w:cantSplit/>
        </w:trPr>
        <w:tc>
          <w:tcPr>
            <w:tcW w:type="dxa" w:w="280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Droits d’enregistrement / timbre</w:t>
            </w:r>
          </w:p>
        </w:tc>
        <w:tc>
          <w:tcPr>
            <w:tcW w:type="dxa" w:w="2621"/>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Exemption</w:t>
            </w:r>
          </w:p>
        </w:tc>
        <w:tc>
          <w:tcPr>
            <w:tcW w:type="dxa" w:w="149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10 ans</w:t>
            </w:r>
          </w:p>
        </w:tc>
        <w:tc>
          <w:tcPr>
            <w:tcW w:type="dxa" w:w="2433"/>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Art. 92 (2022)</w:t>
            </w:r>
          </w:p>
        </w:tc>
      </w:tr>
    </w:tbl>
    <w:p>
      <w:pPr>
        <w:pStyle w:val="Heading2"/>
        <w:spacing w:after="100" w:before="240"/>
      </w:pPr>
      <w:r>
        <w:rPr>
          <w:rFonts w:ascii="Calibri" w:cs="Calibri" w:eastAsia="Calibri" w:hAnsi="Calibri"/>
          <w:b/>
          <w:bCs/>
          <w:color w:val="0C4E54"/>
          <w:sz w:val="25"/>
          <w:szCs w:val="25"/>
        </w:rPr>
        <w:t xml:space="preserve">6.4 Des obligations déclaratives maintenues</w:t>
      </w:r>
    </w:p>
    <w:p>
      <w:pPr>
        <w:spacing w:after="140" w:before="0" w:line="276"/>
        <w:jc w:val="both"/>
      </w:pPr>
      <w:r>
        <w:rPr>
          <w:rFonts w:ascii="Calibri" w:cs="Calibri" w:eastAsia="Calibri" w:hAnsi="Calibri"/>
          <w:color w:val="1B2A2C"/>
          <w:sz w:val="21"/>
          <w:szCs w:val="21"/>
        </w:rPr>
        <w:t xml:space="preserve">L’exonération ne dispense pas des obligations déclaratives. Même lorsqu’elles bénéficient d’avantages fiscaux, les sociétés communautaires </w:t>
      </w:r>
      <w:r>
        <w:rPr>
          <w:rFonts w:ascii="Calibri" w:cs="Calibri" w:eastAsia="Calibri" w:hAnsi="Calibri"/>
          <w:b/>
          <w:bCs/>
          <w:color w:val="1B2A2C"/>
          <w:sz w:val="21"/>
          <w:szCs w:val="21"/>
        </w:rPr>
        <w:t xml:space="preserve">demeurent soumises aux obligations déclaratives</w:t>
      </w:r>
      <w:r>
        <w:rPr>
          <w:rFonts w:ascii="Calibri" w:cs="Calibri" w:eastAsia="Calibri" w:hAnsi="Calibri"/>
          <w:color w:val="1B2A2C"/>
          <w:sz w:val="21"/>
          <w:szCs w:val="21"/>
        </w:rPr>
        <w:t xml:space="preserve"> prévues par la législation fiscale.</w:t>
      </w:r>
      <w:r>
        <w:rPr>
          <w:rStyle w:val="FootnoteReference"/>
        </w:rPr>
        <w:footnoteReference w:id="75"/>
      </w:r>
      <w:r>
        <w:rPr>
          <w:rFonts w:ascii="Calibri" w:cs="Calibri" w:eastAsia="Calibri" w:hAnsi="Calibri"/>
          <w:color w:val="1B2A2C"/>
          <w:sz w:val="21"/>
          <w:szCs w:val="21"/>
        </w:rPr>
        <w:t xml:space="preserve"> Elles doivent déclarer leurs revenus, bénéfices et opérations à l’administration et </w:t>
      </w:r>
      <w:r>
        <w:rPr>
          <w:rFonts w:ascii="Calibri" w:cs="Calibri" w:eastAsia="Calibri" w:hAnsi="Calibri"/>
          <w:b/>
          <w:bCs/>
          <w:color w:val="1B2A2C"/>
          <w:sz w:val="21"/>
          <w:szCs w:val="21"/>
        </w:rPr>
        <w:t xml:space="preserve">préciser les montants concernés par les avantages fiscaux</w:t>
      </w:r>
      <w:r>
        <w:rPr>
          <w:rFonts w:ascii="Calibri" w:cs="Calibri" w:eastAsia="Calibri" w:hAnsi="Calibri"/>
          <w:color w:val="1B2A2C"/>
          <w:sz w:val="21"/>
          <w:szCs w:val="21"/>
        </w:rPr>
        <w:t xml:space="preserve">, conformément à l’article 85 du code des droits et procédures fiscaux.</w:t>
      </w:r>
      <w:r>
        <w:rPr>
          <w:rStyle w:val="FootnoteReference"/>
        </w:rPr>
        <w:footnoteReference w:id="76"/>
      </w:r>
    </w:p>
    <w:tbl>
      <w:tblPr>
        <w:tblW w:type="dxa" w:w="9360"/>
        <w:tblBorders>
          <w:top w:val="single" w:color="EAF1F1" w:sz="1"/>
          <w:left w:val="single" w:color="01696F" w:sz="24"/>
          <w:bottom w:val="single" w:color="EAF1F1" w:sz="1"/>
          <w:right w:val="single" w:color="EAF1F1" w:sz="1"/>
          <w:insideH w:val="none"/>
          <w:insideV w:val="none"/>
        </w:tblBorders>
      </w:tblPr>
      <w:tblGrid>
        <w:gridCol w:w="9360"/>
      </w:tblGrid>
      <w:tr>
        <w:tc>
          <w:tcPr>
            <w:tcW w:type="dxa" w:w="9360"/>
            <w:shd w:fill="EAF1F1" w:color="auto" w:val="clear"/>
            <w:tcMar>
              <w:top w:type="dxa" w:w="120"/>
              <w:left w:type="dxa" w:w="200"/>
              <w:bottom w:type="dxa" w:w="120"/>
              <w:right w:type="dxa" w:w="160"/>
            </w:tcMar>
          </w:tcPr>
          <w:p>
            <w:pPr>
              <w:spacing w:after="60"/>
            </w:pPr>
            <w:r>
              <w:rPr>
                <w:rFonts w:ascii="Calibri" w:cs="Calibri" w:eastAsia="Calibri" w:hAnsi="Calibri"/>
                <w:b/>
                <w:bCs/>
                <w:color w:val="0C4E54"/>
                <w:sz w:val="21"/>
                <w:szCs w:val="21"/>
              </w:rPr>
              <w:t xml:space="preserve">Sanction du défaut de déclaration</w:t>
            </w:r>
          </w:p>
          <w:p>
            <w:pPr>
              <w:spacing w:after="0" w:line="264"/>
              <w:jc w:val="both"/>
            </w:pPr>
            <w:r>
              <w:rPr>
                <w:rFonts w:ascii="Calibri" w:cs="Calibri" w:eastAsia="Calibri" w:hAnsi="Calibri"/>
                <w:color w:val="1B2A2C"/>
                <w:sz w:val="20"/>
                <w:szCs w:val="20"/>
              </w:rPr>
              <w:t xml:space="preserve">Le défaut de déclaration, dans les délais légaux, des revenus et bénéfices exonérés ou soumis à une retenue à la source libératoire, donne lieu à une </w:t>
            </w:r>
            <w:r>
              <w:rPr>
                <w:rFonts w:ascii="Calibri" w:cs="Calibri" w:eastAsia="Calibri" w:hAnsi="Calibri"/>
                <w:b/>
                <w:bCs/>
                <w:color w:val="1B2A2C"/>
                <w:sz w:val="20"/>
                <w:szCs w:val="20"/>
              </w:rPr>
              <w:t xml:space="preserve">pénalité de 1 % des revenus et bénéfices concernés</w:t>
            </w:r>
            <w:r>
              <w:rPr>
                <w:rFonts w:ascii="Calibri" w:cs="Calibri" w:eastAsia="Calibri" w:hAnsi="Calibri"/>
                <w:color w:val="1B2A2C"/>
                <w:sz w:val="20"/>
                <w:szCs w:val="20"/>
              </w:rPr>
              <w:t xml:space="preserve">.</w:t>
            </w:r>
            <w:r>
              <w:rPr>
                <w:rStyle w:val="FootnoteReference"/>
              </w:rPr>
              <w:footnoteReference w:id="77"/>
            </w:r>
            <w:r>
              <w:rPr>
                <w:rFonts w:ascii="Calibri" w:cs="Calibri" w:eastAsia="Calibri" w:hAnsi="Calibri"/>
                <w:color w:val="1B2A2C"/>
                <w:sz w:val="20"/>
                <w:szCs w:val="20"/>
              </w:rPr>
              <w:t xml:space="preserve"> L’exonération est donc un avantage conditionné au respect scrupuleux des échéances déclaratives.</w:t>
            </w:r>
          </w:p>
        </w:tc>
      </w:tr>
    </w:tbl>
    <w:p>
      <w:pPr>
        <w:spacing w:after="140" w:before="0" w:line="276"/>
        <w:jc w:val="both"/>
      </w:pPr>
      <w:r>
        <w:rPr>
          <w:rFonts w:ascii="Calibri" w:cs="Calibri" w:eastAsia="Calibri" w:hAnsi="Calibri"/>
          <w:color w:val="1B2A2C"/>
          <w:sz w:val="21"/>
          <w:szCs w:val="21"/>
        </w:rPr>
        <w:t xml:space="preserve">En pratique, la société communautaire doit tenir une comptabilité régulière, déposer ses déclarations périodiques et annuelles, et conserver les attestations de suspension de TVA. L’appui d’un expert-comptable est vivement recommandé pour sécuriser le bénéfice de l’avantage tout au long de la période décennale.</w:t>
      </w:r>
    </w:p>
    <w:p>
      <w:pPr>
        <w:spacing w:after="140" w:before="0" w:line="276"/>
        <w:jc w:val="both"/>
      </w:pPr>
      <w:r>
        <w:rPr>
          <w:rFonts w:ascii="Calibri" w:cs="Calibri" w:eastAsia="Calibri" w:hAnsi="Calibri"/>
          <w:color w:val="1B2A2C"/>
          <w:sz w:val="21"/>
          <w:szCs w:val="21"/>
        </w:rPr>
        <w:t xml:space="preserve">À l’issue de la période de dix ans, la société bascule dans le régime de droit commun applicable à son activité, sauf disposition nouvelle. Il est donc essentiel d’anticiper cette transition dans le plan financier du projet.</w:t>
      </w:r>
    </w:p>
    <w:p>
      <w:pPr>
        <w:pStyle w:val="Heading1"/>
        <w:pageBreakBefore/>
        <w:pBdr>
          <w:bottom w:val="single" w:color="01696F" w:sz="12" w:space="6"/>
        </w:pBdr>
        <w:spacing w:after="60" w:before="120"/>
      </w:pPr>
      <w:r>
        <w:rPr>
          <w:rFonts w:ascii="Calibri" w:cs="Calibri" w:eastAsia="Calibri" w:hAnsi="Calibri"/>
          <w:b/>
          <w:bCs/>
          <w:color w:val="0C4E54"/>
          <w:sz w:val="32"/>
          <w:szCs w:val="32"/>
        </w:rPr>
        <w:t xml:space="preserve">7. Répartition des bénéfices</w:t>
      </w:r>
    </w:p>
    <w:p>
      <w:pPr>
        <w:spacing w:after="160" w:line="290"/>
        <w:jc w:val="both"/>
      </w:pPr>
      <w:r>
        <w:rPr>
          <w:rFonts w:ascii="Calibri" w:cs="Calibri" w:eastAsia="Calibri" w:hAnsi="Calibri"/>
          <w:color w:val="1B2A2C"/>
          <w:sz w:val="22"/>
          <w:szCs w:val="22"/>
        </w:rPr>
        <w:t xml:space="preserve">La répartition des bénéfices d’une société communautaire n’est pas libre comme dans une société commerciale classique : elle obéit à des règles précises qui privilégient la consolidation financière, l’utilité sociale et le réinvestissement avant la distribution aux participants.</w:t>
      </w:r>
    </w:p>
    <w:p>
      <w:pPr>
        <w:pStyle w:val="Heading2"/>
        <w:spacing w:after="100" w:before="240"/>
      </w:pPr>
      <w:r>
        <w:rPr>
          <w:rFonts w:ascii="Calibri" w:cs="Calibri" w:eastAsia="Calibri" w:hAnsi="Calibri"/>
          <w:b/>
          <w:bCs/>
          <w:color w:val="0C4E54"/>
          <w:sz w:val="25"/>
          <w:szCs w:val="25"/>
        </w:rPr>
        <w:t xml:space="preserve">7.1 Une logique de réinvestissement prioritaire</w:t>
      </w:r>
    </w:p>
    <w:p>
      <w:pPr>
        <w:spacing w:after="140" w:before="0" w:line="276"/>
        <w:jc w:val="both"/>
      </w:pPr>
      <w:r>
        <w:rPr>
          <w:rFonts w:ascii="Calibri" w:cs="Calibri" w:eastAsia="Calibri" w:hAnsi="Calibri"/>
          <w:color w:val="1B2A2C"/>
          <w:sz w:val="21"/>
          <w:szCs w:val="21"/>
        </w:rPr>
        <w:t xml:space="preserve">La société communautaire n’ayant pas un objectif purement lucratif, ses bénéfices sont </w:t>
      </w:r>
      <w:r>
        <w:rPr>
          <w:rFonts w:ascii="Calibri" w:cs="Calibri" w:eastAsia="Calibri" w:hAnsi="Calibri"/>
          <w:b/>
          <w:bCs/>
          <w:color w:val="1B2A2C"/>
          <w:sz w:val="21"/>
          <w:szCs w:val="21"/>
        </w:rPr>
        <w:t xml:space="preserve">prioritairement destinés au développement collectif et local avant toute distribution</w:t>
      </w:r>
      <w:r>
        <w:rPr>
          <w:rFonts w:ascii="Calibri" w:cs="Calibri" w:eastAsia="Calibri" w:hAnsi="Calibri"/>
          <w:color w:val="1B2A2C"/>
          <w:sz w:val="21"/>
          <w:szCs w:val="21"/>
        </w:rPr>
        <w:t xml:space="preserve"> aux participants. La priorité est accordée à la constitution de réserves renforçant la solidité financière, puis au réinvestissement dans les projets et activités, et enfin seulement à la distribution selon les modalités approuvées par l’assemblée générale.</w:t>
      </w:r>
      <w:r>
        <w:rPr>
          <w:rStyle w:val="FootnoteReference"/>
        </w:rPr>
        <w:footnoteReference w:id="78"/>
      </w:r>
    </w:p>
    <w:p>
      <w:pPr>
        <w:pStyle w:val="Heading2"/>
        <w:spacing w:after="100" w:before="240"/>
      </w:pPr>
      <w:r>
        <w:rPr>
          <w:rFonts w:ascii="Calibri" w:cs="Calibri" w:eastAsia="Calibri" w:hAnsi="Calibri"/>
          <w:b/>
          <w:bCs/>
          <w:color w:val="0C4E54"/>
          <w:sz w:val="25"/>
          <w:szCs w:val="25"/>
        </w:rPr>
        <w:t xml:space="preserve">7.2 La clé de répartition légale (article 55)</w:t>
      </w:r>
    </w:p>
    <w:p>
      <w:pPr>
        <w:spacing w:after="140" w:before="0" w:line="276"/>
        <w:jc w:val="both"/>
      </w:pPr>
      <w:r>
        <w:rPr>
          <w:rFonts w:ascii="Calibri" w:cs="Calibri" w:eastAsia="Calibri" w:hAnsi="Calibri"/>
          <w:color w:val="1B2A2C"/>
          <w:sz w:val="21"/>
          <w:szCs w:val="21"/>
        </w:rPr>
        <w:t xml:space="preserve">L’article 55 du décret-loi n° 2025-3 de 2025 fixe la répartition des bénéfices nets à la clôture de chaque exercice comptable selon une grille précise :</w:t>
      </w:r>
      <w:r>
        <w:rPr>
          <w:rStyle w:val="FootnoteReference"/>
        </w:rPr>
        <w:footnoteReference w:id="79"/>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10"/>
        <w:gridCol w:w="4118"/>
        <w:gridCol w:w="3932"/>
      </w:tblGrid>
      <w:tr>
        <w:trPr>
          <w:cantSplit/>
          <w:tblHeader/>
        </w:trPr>
        <w:tc>
          <w:tcPr>
            <w:tcW w:type="dxa" w:w="1310"/>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Part</w:t>
            </w:r>
          </w:p>
        </w:tc>
        <w:tc>
          <w:tcPr>
            <w:tcW w:type="dxa" w:w="4118"/>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Affectation</w:t>
            </w:r>
          </w:p>
        </w:tc>
        <w:tc>
          <w:tcPr>
            <w:tcW w:type="dxa" w:w="3932"/>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Règle</w:t>
            </w:r>
          </w:p>
        </w:tc>
      </w:tr>
      <w:tr>
        <w:trPr>
          <w:cantSplit/>
        </w:trPr>
        <w:tc>
          <w:tcPr>
            <w:tcW w:type="dxa" w:w="1310"/>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15 %</w:t>
            </w:r>
          </w:p>
        </w:tc>
        <w:tc>
          <w:tcPr>
            <w:tcW w:type="dxa" w:w="411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Réserves obligatoires</w:t>
            </w:r>
          </w:p>
        </w:tc>
        <w:tc>
          <w:tcPr>
            <w:tcW w:type="dxa" w:w="3932"/>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Jusqu’à ce que les réserves atteignent 50 % du capital social.</w:t>
            </w:r>
          </w:p>
        </w:tc>
      </w:tr>
      <w:tr>
        <w:trPr>
          <w:cantSplit/>
        </w:trPr>
        <w:tc>
          <w:tcPr>
            <w:tcW w:type="dxa" w:w="1310"/>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20 %</w:t>
            </w:r>
          </w:p>
        </w:tc>
        <w:tc>
          <w:tcPr>
            <w:tcW w:type="dxa" w:w="4118"/>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Activités sociales, culturelles et environnementales</w:t>
            </w:r>
          </w:p>
        </w:tc>
        <w:tc>
          <w:tcPr>
            <w:tcW w:type="dxa" w:w="3932"/>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Au service de la communauté et du territoire.</w:t>
            </w:r>
          </w:p>
        </w:tc>
      </w:tr>
      <w:tr>
        <w:trPr>
          <w:cantSplit/>
        </w:trPr>
        <w:tc>
          <w:tcPr>
            <w:tcW w:type="dxa" w:w="1310"/>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Jusqu’à 35 %</w:t>
            </w:r>
          </w:p>
        </w:tc>
        <w:tc>
          <w:tcPr>
            <w:tcW w:type="dxa" w:w="411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Distribution aux participants</w:t>
            </w:r>
          </w:p>
        </w:tc>
        <w:tc>
          <w:tcPr>
            <w:tcW w:type="dxa" w:w="3932"/>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Plafond ; par décision de l’assemblée générale.</w:t>
            </w:r>
          </w:p>
        </w:tc>
      </w:tr>
      <w:tr>
        <w:trPr>
          <w:cantSplit/>
        </w:trPr>
        <w:tc>
          <w:tcPr>
            <w:tcW w:type="dxa" w:w="1310"/>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30 %</w:t>
            </w:r>
          </w:p>
        </w:tc>
        <w:tc>
          <w:tcPr>
            <w:tcW w:type="dxa" w:w="4118"/>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Développement de la société</w:t>
            </w:r>
          </w:p>
        </w:tc>
        <w:tc>
          <w:tcPr>
            <w:tcW w:type="dxa" w:w="3932"/>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Réinvestissement : extension des activités, acquisition d’équipements, aux niveaux local et régional.</w:t>
            </w:r>
          </w:p>
        </w:tc>
      </w:tr>
    </w:tbl>
    <w:p>
      <w:pPr>
        <w:spacing w:after="140" w:before="0" w:line="276"/>
        <w:jc w:val="both"/>
      </w:pPr>
      <w:r>
        <w:rPr>
          <w:rFonts w:ascii="Calibri" w:cs="Calibri" w:eastAsia="Calibri" w:hAnsi="Calibri"/>
          <w:color w:val="1B2A2C"/>
          <w:sz w:val="21"/>
          <w:szCs w:val="21"/>
        </w:rPr>
        <w:t xml:space="preserve">Cette architecture garantit qu’une part majoritaire des résultats sert la pérennité de la structure et l’intérêt collectif : la distribution aux participants est plafonnée à 35 % et reste subordonnée à la décision souveraine de l’assemblée générale.</w:t>
      </w:r>
      <w:r>
        <w:rPr>
          <w:rStyle w:val="FootnoteReference"/>
        </w:rPr>
        <w:footnoteReference w:id="80"/>
      </w:r>
    </w:p>
    <w:tbl>
      <w:tblPr>
        <w:tblW w:type="dxa" w:w="9360"/>
        <w:tblBorders>
          <w:top w:val="single" w:color="EAF1F1" w:sz="1"/>
          <w:left w:val="single" w:color="01696F" w:sz="24"/>
          <w:bottom w:val="single" w:color="EAF1F1" w:sz="1"/>
          <w:right w:val="single" w:color="EAF1F1" w:sz="1"/>
          <w:insideH w:val="none"/>
          <w:insideV w:val="none"/>
        </w:tblBorders>
      </w:tblPr>
      <w:tblGrid>
        <w:gridCol w:w="9360"/>
      </w:tblGrid>
      <w:tr>
        <w:tc>
          <w:tcPr>
            <w:tcW w:type="dxa" w:w="9360"/>
            <w:shd w:fill="EAF1F1" w:color="auto" w:val="clear"/>
            <w:tcMar>
              <w:top w:type="dxa" w:w="120"/>
              <w:left w:type="dxa" w:w="200"/>
              <w:bottom w:type="dxa" w:w="120"/>
              <w:right w:type="dxa" w:w="160"/>
            </w:tcMar>
          </w:tcPr>
          <w:p>
            <w:pPr>
              <w:spacing w:after="60"/>
            </w:pPr>
            <w:r>
              <w:rPr>
                <w:rFonts w:ascii="Calibri" w:cs="Calibri" w:eastAsia="Calibri" w:hAnsi="Calibri"/>
                <w:b/>
                <w:bCs/>
                <w:color w:val="0C4E54"/>
                <w:sz w:val="21"/>
                <w:szCs w:val="21"/>
              </w:rPr>
              <w:t xml:space="preserve">À retenir</w:t>
            </w:r>
          </w:p>
          <w:p>
            <w:pPr>
              <w:spacing w:after="60" w:line="264"/>
              <w:jc w:val="both"/>
            </w:pPr>
            <w:r>
              <w:rPr>
                <w:rFonts w:ascii="Calibri" w:cs="Calibri" w:eastAsia="Calibri" w:hAnsi="Calibri"/>
                <w:color w:val="1B2A2C"/>
                <w:sz w:val="20"/>
                <w:szCs w:val="20"/>
              </w:rPr>
              <w:t xml:space="preserve">La distribution aux participants est un </w:t>
            </w:r>
            <w:r>
              <w:rPr>
                <w:rFonts w:ascii="Calibri" w:cs="Calibri" w:eastAsia="Calibri" w:hAnsi="Calibri"/>
                <w:b/>
                <w:bCs/>
                <w:color w:val="1B2A2C"/>
                <w:sz w:val="20"/>
                <w:szCs w:val="20"/>
              </w:rPr>
              <w:t xml:space="preserve">plafond (jusqu’à 35 %)</w:t>
            </w:r>
            <w:r>
              <w:rPr>
                <w:rFonts w:ascii="Calibri" w:cs="Calibri" w:eastAsia="Calibri" w:hAnsi="Calibri"/>
                <w:color w:val="1B2A2C"/>
                <w:sz w:val="20"/>
                <w:szCs w:val="20"/>
              </w:rPr>
              <w:t xml:space="preserve">, non un droit automatique.</w:t>
            </w:r>
          </w:p>
          <w:p>
            <w:pPr>
              <w:spacing w:after="60" w:line="264"/>
              <w:jc w:val="both"/>
            </w:pPr>
            <w:r>
              <w:rPr>
                <w:rFonts w:ascii="Calibri" w:cs="Calibri" w:eastAsia="Calibri" w:hAnsi="Calibri"/>
                <w:color w:val="1B2A2C"/>
                <w:sz w:val="20"/>
                <w:szCs w:val="20"/>
              </w:rPr>
              <w:t xml:space="preserve">Les </w:t>
            </w:r>
            <w:r>
              <w:rPr>
                <w:rFonts w:ascii="Calibri" w:cs="Calibri" w:eastAsia="Calibri" w:hAnsi="Calibri"/>
                <w:b/>
                <w:bCs/>
                <w:color w:val="1B2A2C"/>
                <w:sz w:val="20"/>
                <w:szCs w:val="20"/>
              </w:rPr>
              <w:t xml:space="preserve">réserves obligatoires (15 %)</w:t>
            </w:r>
            <w:r>
              <w:rPr>
                <w:rFonts w:ascii="Calibri" w:cs="Calibri" w:eastAsia="Calibri" w:hAnsi="Calibri"/>
                <w:color w:val="1B2A2C"/>
                <w:sz w:val="20"/>
                <w:szCs w:val="20"/>
              </w:rPr>
              <w:t xml:space="preserve"> s’accumulent jusqu’à atteindre la moitié du capital.</w:t>
            </w:r>
          </w:p>
          <w:p>
            <w:pPr>
              <w:spacing w:after="60" w:line="264"/>
              <w:jc w:val="both"/>
            </w:pPr>
            <w:r>
              <w:rPr>
                <w:rFonts w:ascii="Calibri" w:cs="Calibri" w:eastAsia="Calibri" w:hAnsi="Calibri"/>
                <w:color w:val="1B2A2C"/>
                <w:sz w:val="20"/>
                <w:szCs w:val="20"/>
              </w:rPr>
              <w:t xml:space="preserve">Un </w:t>
            </w:r>
            <w:r>
              <w:rPr>
                <w:rFonts w:ascii="Calibri" w:cs="Calibri" w:eastAsia="Calibri" w:hAnsi="Calibri"/>
                <w:b/>
                <w:bCs/>
                <w:color w:val="1B2A2C"/>
                <w:sz w:val="20"/>
                <w:szCs w:val="20"/>
              </w:rPr>
              <w:t xml:space="preserve">cinquième des bénéfices (20 %)</w:t>
            </w:r>
            <w:r>
              <w:rPr>
                <w:rFonts w:ascii="Calibri" w:cs="Calibri" w:eastAsia="Calibri" w:hAnsi="Calibri"/>
                <w:color w:val="1B2A2C"/>
                <w:sz w:val="20"/>
                <w:szCs w:val="20"/>
              </w:rPr>
              <w:t xml:space="preserve"> est consacré à des actions sociales, culturelles et environnementales.</w:t>
            </w:r>
          </w:p>
          <w:p>
            <w:pPr>
              <w:spacing w:after="0" w:line="264"/>
              <w:jc w:val="both"/>
            </w:pPr>
            <w:r>
              <w:rPr>
                <w:rFonts w:ascii="Calibri" w:cs="Calibri" w:eastAsia="Calibri" w:hAnsi="Calibri"/>
                <w:color w:val="1B2A2C"/>
                <w:sz w:val="20"/>
                <w:szCs w:val="20"/>
              </w:rPr>
              <w:t xml:space="preserve">Le solde (</w:t>
            </w:r>
            <w:r>
              <w:rPr>
                <w:rFonts w:ascii="Calibri" w:cs="Calibri" w:eastAsia="Calibri" w:hAnsi="Calibri"/>
                <w:b/>
                <w:bCs/>
                <w:color w:val="1B2A2C"/>
                <w:sz w:val="20"/>
                <w:szCs w:val="20"/>
              </w:rPr>
              <w:t xml:space="preserve">30 %</w:t>
            </w:r>
            <w:r>
              <w:rPr>
                <w:rFonts w:ascii="Calibri" w:cs="Calibri" w:eastAsia="Calibri" w:hAnsi="Calibri"/>
                <w:color w:val="1B2A2C"/>
                <w:sz w:val="20"/>
                <w:szCs w:val="20"/>
              </w:rPr>
              <w:t xml:space="preserve">) finance le développement et l’investissement de la société.</w:t>
            </w:r>
          </w:p>
        </w:tc>
      </w:tr>
    </w:tbl>
    <w:p>
      <w:pPr>
        <w:spacing w:after="140" w:before="0" w:line="276"/>
        <w:jc w:val="both"/>
      </w:pPr>
      <w:r>
        <w:rPr>
          <w:rFonts w:ascii="Calibri" w:cs="Calibri" w:eastAsia="Calibri" w:hAnsi="Calibri"/>
          <w:color w:val="1B2A2C"/>
          <w:sz w:val="21"/>
          <w:szCs w:val="21"/>
        </w:rPr>
        <w:t xml:space="preserve">Note de lecture : sous le régime de 2022, l’article 55 prévoyait déjà 15 % de réserves obligatoires et 20 % d’activités sociales, avec une distribution dans la limite de 35 % et un solde affecté au développement.</w:t>
      </w:r>
      <w:r>
        <w:rPr>
          <w:rStyle w:val="FootnoteReference"/>
        </w:rPr>
        <w:footnoteReference w:id="81"/>
      </w:r>
      <w:r>
        <w:rPr>
          <w:rFonts w:ascii="Calibri" w:cs="Calibri" w:eastAsia="Calibri" w:hAnsi="Calibri"/>
          <w:color w:val="1B2A2C"/>
          <w:sz w:val="21"/>
          <w:szCs w:val="21"/>
        </w:rPr>
        <w:t xml:space="preserve"> La réforme de 2025 a précisé et chiffré le solde de développement à 30 %, clarifiant ainsi la grille complète.</w:t>
      </w:r>
      <w:r>
        <w:rPr>
          <w:rStyle w:val="FootnoteReference"/>
        </w:rPr>
        <w:footnoteReference w:id="82"/>
      </w:r>
    </w:p>
    <w:p>
      <w:pPr>
        <w:pStyle w:val="Heading1"/>
        <w:pageBreakBefore/>
        <w:pBdr>
          <w:bottom w:val="single" w:color="01696F" w:sz="12" w:space="6"/>
        </w:pBdr>
        <w:spacing w:after="60" w:before="120"/>
      </w:pPr>
      <w:r>
        <w:rPr>
          <w:rFonts w:ascii="Calibri" w:cs="Calibri" w:eastAsia="Calibri" w:hAnsi="Calibri"/>
          <w:b/>
          <w:bCs/>
          <w:color w:val="0C4E54"/>
          <w:sz w:val="32"/>
          <w:szCs w:val="32"/>
        </w:rPr>
        <w:t xml:space="preserve">8. La société communautaire face aux autres formes</w:t>
      </w:r>
    </w:p>
    <w:p>
      <w:pPr>
        <w:spacing w:after="160" w:line="290"/>
        <w:jc w:val="both"/>
      </w:pPr>
      <w:r>
        <w:rPr>
          <w:rFonts w:ascii="Calibri" w:cs="Calibri" w:eastAsia="Calibri" w:hAnsi="Calibri"/>
          <w:color w:val="1B2A2C"/>
          <w:sz w:val="22"/>
          <w:szCs w:val="22"/>
        </w:rPr>
        <w:t xml:space="preserve">Comprendre la société communautaire suppose de la situer par rapport aux structures voisines : sociétés commerciales classiques, coopératives et organisations de l’économie sociale et solidaire.</w:t>
      </w:r>
    </w:p>
    <w:p>
      <w:pPr>
        <w:pStyle w:val="Heading2"/>
        <w:spacing w:after="100" w:before="240"/>
      </w:pPr>
      <w:r>
        <w:rPr>
          <w:rFonts w:ascii="Calibri" w:cs="Calibri" w:eastAsia="Calibri" w:hAnsi="Calibri"/>
          <w:b/>
          <w:bCs/>
          <w:color w:val="0C4E54"/>
          <w:sz w:val="25"/>
          <w:szCs w:val="25"/>
        </w:rPr>
        <w:t xml:space="preserve">8.1 Société communautaire et société commerciale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46"/>
        <w:gridCol w:w="3557"/>
        <w:gridCol w:w="3557"/>
      </w:tblGrid>
      <w:tr>
        <w:trPr>
          <w:cantSplit/>
          <w:tblHeader/>
        </w:trPr>
        <w:tc>
          <w:tcPr>
            <w:tcW w:type="dxa" w:w="2246"/>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Critère</w:t>
            </w:r>
          </w:p>
        </w:tc>
        <w:tc>
          <w:tcPr>
            <w:tcW w:type="dxa" w:w="3557"/>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Société communautaire</w:t>
            </w:r>
          </w:p>
        </w:tc>
        <w:tc>
          <w:tcPr>
            <w:tcW w:type="dxa" w:w="3557"/>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Société commerciale (SARL/SA)</w:t>
            </w:r>
          </w:p>
        </w:tc>
      </w:tr>
      <w:tr>
        <w:trPr>
          <w:cantSplit/>
        </w:trPr>
        <w:tc>
          <w:tcPr>
            <w:tcW w:type="dxa" w:w="2246"/>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Finalité</w:t>
            </w:r>
          </w:p>
        </w:tc>
        <w:tc>
          <w:tcPr>
            <w:tcW w:type="dxa" w:w="3557"/>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Justice sociale, développement local</w:t>
            </w:r>
          </w:p>
        </w:tc>
        <w:tc>
          <w:tcPr>
            <w:tcW w:type="dxa" w:w="3557"/>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Profit et rémunération du capital</w:t>
            </w:r>
          </w:p>
        </w:tc>
      </w:tr>
      <w:tr>
        <w:trPr>
          <w:cantSplit/>
        </w:trPr>
        <w:tc>
          <w:tcPr>
            <w:tcW w:type="dxa" w:w="2246"/>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Droit de vote</w:t>
            </w:r>
          </w:p>
        </w:tc>
        <w:tc>
          <w:tcPr>
            <w:tcW w:type="dxa" w:w="3557"/>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Une personne, une voix</w:t>
            </w:r>
          </w:p>
        </w:tc>
        <w:tc>
          <w:tcPr>
            <w:tcW w:type="dxa" w:w="3557"/>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Proportionnel au capital</w:t>
            </w:r>
          </w:p>
        </w:tc>
      </w:tr>
      <w:tr>
        <w:trPr>
          <w:cantSplit/>
        </w:trPr>
        <w:tc>
          <w:tcPr>
            <w:tcW w:type="dxa" w:w="2246"/>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Distribution des bénéfices</w:t>
            </w:r>
          </w:p>
        </w:tc>
        <w:tc>
          <w:tcPr>
            <w:tcW w:type="dxa" w:w="3557"/>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Encadrée (plafond 35 %, réserves, social)</w:t>
            </w:r>
          </w:p>
        </w:tc>
        <w:tc>
          <w:tcPr>
            <w:tcW w:type="dxa" w:w="3557"/>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Libre, selon décision des associés</w:t>
            </w:r>
          </w:p>
        </w:tc>
      </w:tr>
      <w:tr>
        <w:trPr>
          <w:cantSplit/>
        </w:trPr>
        <w:tc>
          <w:tcPr>
            <w:tcW w:type="dxa" w:w="2246"/>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Fiscalité</w:t>
            </w:r>
          </w:p>
        </w:tc>
        <w:tc>
          <w:tcPr>
            <w:tcW w:type="dxa" w:w="3557"/>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Exonération large 10 ans</w:t>
            </w:r>
          </w:p>
        </w:tc>
        <w:tc>
          <w:tcPr>
            <w:tcW w:type="dxa" w:w="3557"/>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Régime de droit commun</w:t>
            </w:r>
          </w:p>
        </w:tc>
      </w:tr>
      <w:tr>
        <w:trPr>
          <w:cantSplit/>
        </w:trPr>
        <w:tc>
          <w:tcPr>
            <w:tcW w:type="dxa" w:w="2246"/>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Ancrage territorial</w:t>
            </w:r>
          </w:p>
        </w:tc>
        <w:tc>
          <w:tcPr>
            <w:tcW w:type="dxa" w:w="3557"/>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Obligatoire (délégation / gouvernorat)</w:t>
            </w:r>
          </w:p>
        </w:tc>
        <w:tc>
          <w:tcPr>
            <w:tcW w:type="dxa" w:w="3557"/>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Aucune contrainte territoriale</w:t>
            </w:r>
          </w:p>
        </w:tc>
      </w:tr>
      <w:tr>
        <w:trPr>
          <w:cantSplit/>
        </w:trPr>
        <w:tc>
          <w:tcPr>
            <w:tcW w:type="dxa" w:w="2246"/>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Tutelle</w:t>
            </w:r>
          </w:p>
        </w:tc>
        <w:tc>
          <w:tcPr>
            <w:tcW w:type="dxa" w:w="3557"/>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Ministère / gouverneur</w:t>
            </w:r>
          </w:p>
        </w:tc>
        <w:tc>
          <w:tcPr>
            <w:tcW w:type="dxa" w:w="3557"/>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Pas de tutelle administrative</w:t>
            </w:r>
          </w:p>
        </w:tc>
      </w:tr>
    </w:tbl>
    <w:p>
      <w:pPr>
        <w:pStyle w:val="Heading2"/>
        <w:spacing w:after="100" w:before="240"/>
      </w:pPr>
      <w:r>
        <w:rPr>
          <w:rFonts w:ascii="Calibri" w:cs="Calibri" w:eastAsia="Calibri" w:hAnsi="Calibri"/>
          <w:b/>
          <w:bCs/>
          <w:color w:val="0C4E54"/>
          <w:sz w:val="25"/>
          <w:szCs w:val="25"/>
        </w:rPr>
        <w:t xml:space="preserve">8.2 Une organisation d’économie sociale et solidaire</w:t>
      </w:r>
    </w:p>
    <w:p>
      <w:pPr>
        <w:spacing w:after="140" w:before="0" w:line="276"/>
        <w:jc w:val="both"/>
      </w:pPr>
      <w:r>
        <w:rPr>
          <w:rFonts w:ascii="Calibri" w:cs="Calibri" w:eastAsia="Calibri" w:hAnsi="Calibri"/>
          <w:color w:val="1B2A2C"/>
          <w:sz w:val="21"/>
          <w:szCs w:val="21"/>
        </w:rPr>
        <w:t xml:space="preserve">La société communautaire s’inscrit dans la famille des organisations de l’économie sociale et solidaire (ESS), aux côtés des coopératives, mutuelles, associations et entreprises sociales. Elle en partage les valeurs cardinales : primauté de l’humain sur le capital, gouvernance démocratique, ancrage territorial et finalité d’intérêt collectif.</w:t>
      </w:r>
      <w:r>
        <w:rPr>
          <w:rStyle w:val="FootnoteReference"/>
        </w:rPr>
        <w:footnoteReference w:id="83"/>
      </w:r>
      <w:r>
        <w:rPr>
          <w:rFonts w:ascii="Calibri" w:cs="Calibri" w:eastAsia="Calibri" w:hAnsi="Calibri"/>
          <w:color w:val="1B2A2C"/>
          <w:sz w:val="21"/>
          <w:szCs w:val="21"/>
        </w:rPr>
        <w:t xml:space="preserve"> Elle adopte un modèle hybride, entre entreprise privée et organisme d’intérêt public, fondé sur une gestion démocratique où les décisions sont prises collectivement par les membres ou leurs représentants.</w:t>
      </w:r>
      <w:r>
        <w:rPr>
          <w:rStyle w:val="FootnoteReference"/>
        </w:rPr>
        <w:footnoteReference w:id="84"/>
      </w:r>
    </w:p>
    <w:p>
      <w:pPr>
        <w:spacing w:after="140" w:before="0" w:line="276"/>
        <w:jc w:val="both"/>
      </w:pPr>
      <w:r>
        <w:rPr>
          <w:rFonts w:ascii="Calibri" w:cs="Calibri" w:eastAsia="Calibri" w:hAnsi="Calibri"/>
          <w:color w:val="1B2A2C"/>
          <w:sz w:val="21"/>
          <w:szCs w:val="21"/>
        </w:rPr>
        <w:t xml:space="preserve">Le dispositif s’inscrit dans une trajectoire historique tunisienne d’appui à l’ESS, après les coopératives et les sociétés mutuelles de services agricoles. Il vise à renforcer l’autonomie économique des régions et à valoriser les ressources locales par une action collective participative.</w:t>
      </w:r>
      <w:r>
        <w:rPr>
          <w:rStyle w:val="FootnoteReference"/>
        </w:rPr>
        <w:footnoteReference w:id="85"/>
      </w:r>
    </w:p>
    <w:p>
      <w:pPr>
        <w:pStyle w:val="Heading1"/>
        <w:pageBreakBefore/>
        <w:pBdr>
          <w:bottom w:val="single" w:color="01696F" w:sz="12" w:space="6"/>
        </w:pBdr>
        <w:spacing w:after="60" w:before="120"/>
      </w:pPr>
      <w:r>
        <w:rPr>
          <w:rFonts w:ascii="Calibri" w:cs="Calibri" w:eastAsia="Calibri" w:hAnsi="Calibri"/>
          <w:b/>
          <w:bCs/>
          <w:color w:val="0C4E54"/>
          <w:sz w:val="32"/>
          <w:szCs w:val="32"/>
        </w:rPr>
        <w:t xml:space="preserve">9. État des lieux et exemples concrets</w:t>
      </w:r>
    </w:p>
    <w:p>
      <w:pPr>
        <w:spacing w:after="160" w:line="290"/>
        <w:jc w:val="both"/>
      </w:pPr>
      <w:r>
        <w:rPr>
          <w:rFonts w:ascii="Calibri" w:cs="Calibri" w:eastAsia="Calibri" w:hAnsi="Calibri"/>
          <w:color w:val="1B2A2C"/>
          <w:sz w:val="22"/>
          <w:szCs w:val="22"/>
        </w:rPr>
        <w:t xml:space="preserve">Depuis l’adoption du cadre de 2022, le dispositif a connu un démarrage progressif, accéléré par la réforme de 2025. Les données disponibles dessinent un écosystème en expansion, mais encore fragile dans son passage à l’activité effective.</w:t>
      </w:r>
    </w:p>
    <w:p>
      <w:pPr>
        <w:pStyle w:val="Heading2"/>
        <w:spacing w:after="100" w:before="240"/>
      </w:pPr>
      <w:r>
        <w:rPr>
          <w:rFonts w:ascii="Calibri" w:cs="Calibri" w:eastAsia="Calibri" w:hAnsi="Calibri"/>
          <w:b/>
          <w:bCs/>
          <w:color w:val="0C4E54"/>
          <w:sz w:val="25"/>
          <w:szCs w:val="25"/>
        </w:rPr>
        <w:t xml:space="preserve">9.1 Dynamique de création</w:t>
      </w:r>
    </w:p>
    <w:p>
      <w:pPr>
        <w:spacing w:after="140" w:before="0" w:line="276"/>
        <w:jc w:val="both"/>
      </w:pPr>
      <w:r>
        <w:rPr>
          <w:rFonts w:ascii="Calibri" w:cs="Calibri" w:eastAsia="Calibri" w:hAnsi="Calibri"/>
          <w:color w:val="1B2A2C"/>
          <w:sz w:val="21"/>
          <w:szCs w:val="21"/>
        </w:rPr>
        <w:t xml:space="preserve">Le rythme de création s’est nettement intensifié à partir de la fin 2024. On dénombrait 77 sociétés établies au 15 août 2024 (61 locales et 16 régionales),</w:t>
      </w:r>
      <w:r>
        <w:rPr>
          <w:rStyle w:val="FootnoteReference"/>
        </w:rPr>
        <w:footnoteReference w:id="86"/>
      </w:r>
      <w:r>
        <w:rPr>
          <w:rFonts w:ascii="Calibri" w:cs="Calibri" w:eastAsia="Calibri" w:hAnsi="Calibri"/>
          <w:color w:val="1B2A2C"/>
          <w:sz w:val="21"/>
          <w:szCs w:val="21"/>
        </w:rPr>
        <w:t xml:space="preserve"> puis 86 créations supplémentaires entre le quatrième trimestre 2024 et la mi-janvier 2025.</w:t>
      </w:r>
      <w:r>
        <w:rPr>
          <w:rStyle w:val="FootnoteReference"/>
        </w:rPr>
        <w:footnoteReference w:id="87"/>
      </w:r>
      <w:r>
        <w:rPr>
          <w:rFonts w:ascii="Calibri" w:cs="Calibri" w:eastAsia="Calibri" w:hAnsi="Calibri"/>
          <w:color w:val="1B2A2C"/>
          <w:sz w:val="21"/>
          <w:szCs w:val="21"/>
        </w:rPr>
        <w:t xml:space="preserve"> En mars 2025, le ministère faisait état de </w:t>
      </w:r>
      <w:r>
        <w:rPr>
          <w:rFonts w:ascii="Calibri" w:cs="Calibri" w:eastAsia="Calibri" w:hAnsi="Calibri"/>
          <w:b/>
          <w:bCs/>
          <w:color w:val="1B2A2C"/>
          <w:sz w:val="21"/>
          <w:szCs w:val="21"/>
        </w:rPr>
        <w:t xml:space="preserve">160 sociétés communautaires</w:t>
      </w:r>
      <w:r>
        <w:rPr>
          <w:rFonts w:ascii="Calibri" w:cs="Calibri" w:eastAsia="Calibri" w:hAnsi="Calibri"/>
          <w:color w:val="1B2A2C"/>
          <w:sz w:val="21"/>
          <w:szCs w:val="21"/>
        </w:rPr>
        <w:t xml:space="preserve"> créées, dont 77 % locales et 23 % régionales.</w:t>
      </w:r>
      <w:r>
        <w:rPr>
          <w:rStyle w:val="FootnoteReference"/>
        </w:rPr>
        <w:footnoteReference w:id="88"/>
      </w:r>
      <w:r>
        <w:rPr>
          <w:rFonts w:ascii="Calibri" w:cs="Calibri" w:eastAsia="Calibri" w:hAnsi="Calibri"/>
          <w:color w:val="1B2A2C"/>
          <w:sz w:val="21"/>
          <w:szCs w:val="21"/>
        </w:rPr>
        <w:t xml:space="preserve"> Fin 2025, le bilan officiel s’établissait autour de </w:t>
      </w:r>
      <w:r>
        <w:rPr>
          <w:rFonts w:ascii="Calibri" w:cs="Calibri" w:eastAsia="Calibri" w:hAnsi="Calibri"/>
          <w:b/>
          <w:bCs/>
          <w:color w:val="1B2A2C"/>
          <w:sz w:val="21"/>
          <w:szCs w:val="21"/>
        </w:rPr>
        <w:t xml:space="preserve">230 entreprises lancées</w:t>
      </w:r>
      <w:r>
        <w:rPr>
          <w:rFonts w:ascii="Calibri" w:cs="Calibri" w:eastAsia="Calibri" w:hAnsi="Calibri"/>
          <w:color w:val="1B2A2C"/>
          <w:sz w:val="21"/>
          <w:szCs w:val="21"/>
        </w:rPr>
        <w:t xml:space="preserve">, pour environ </w:t>
      </w:r>
      <w:r>
        <w:rPr>
          <w:rFonts w:ascii="Calibri" w:cs="Calibri" w:eastAsia="Calibri" w:hAnsi="Calibri"/>
          <w:b/>
          <w:bCs/>
          <w:color w:val="1B2A2C"/>
          <w:sz w:val="21"/>
          <w:szCs w:val="21"/>
        </w:rPr>
        <w:t xml:space="preserve">29,46 millions de dinars</w:t>
      </w:r>
      <w:r>
        <w:rPr>
          <w:rFonts w:ascii="Calibri" w:cs="Calibri" w:eastAsia="Calibri" w:hAnsi="Calibri"/>
          <w:color w:val="1B2A2C"/>
          <w:sz w:val="21"/>
          <w:szCs w:val="21"/>
        </w:rPr>
        <w:t xml:space="preserve"> de financements accordés.</w:t>
      </w:r>
      <w:r>
        <w:rPr>
          <w:rStyle w:val="FootnoteReference"/>
        </w:rPr>
        <w:footnoteReference w:id="89"/>
      </w:r>
    </w:p>
    <w:tbl>
      <w:tblPr>
        <w:tblW w:type="dxa" w:w="9360"/>
        <w:tblBorders>
          <w:top w:val="single" w:color="EAF1F1" w:sz="1"/>
          <w:left w:val="single" w:color="01696F" w:sz="24"/>
          <w:bottom w:val="single" w:color="EAF1F1" w:sz="1"/>
          <w:right w:val="single" w:color="EAF1F1" w:sz="1"/>
          <w:insideH w:val="none"/>
          <w:insideV w:val="none"/>
        </w:tblBorders>
      </w:tblPr>
      <w:tblGrid>
        <w:gridCol w:w="9360"/>
      </w:tblGrid>
      <w:tr>
        <w:tc>
          <w:tcPr>
            <w:tcW w:type="dxa" w:w="9360"/>
            <w:shd w:fill="EAF1F1" w:color="auto" w:val="clear"/>
            <w:tcMar>
              <w:top w:type="dxa" w:w="120"/>
              <w:left w:type="dxa" w:w="200"/>
              <w:bottom w:type="dxa" w:w="120"/>
              <w:right w:type="dxa" w:w="160"/>
            </w:tcMar>
          </w:tcPr>
          <w:p>
            <w:pPr>
              <w:spacing w:after="60"/>
            </w:pPr>
            <w:r>
              <w:rPr>
                <w:rFonts w:ascii="Calibri" w:cs="Calibri" w:eastAsia="Calibri" w:hAnsi="Calibri"/>
                <w:b/>
                <w:bCs/>
                <w:color w:val="0C4E54"/>
                <w:sz w:val="21"/>
                <w:szCs w:val="21"/>
              </w:rPr>
              <w:t xml:space="preserve">Le défi du passage à l’activité</w:t>
            </w:r>
          </w:p>
          <w:p>
            <w:pPr>
              <w:spacing w:after="0" w:line="264"/>
              <w:jc w:val="both"/>
            </w:pPr>
            <w:r>
              <w:rPr>
                <w:rFonts w:ascii="Calibri" w:cs="Calibri" w:eastAsia="Calibri" w:hAnsi="Calibri"/>
                <w:color w:val="1B2A2C"/>
                <w:sz w:val="20"/>
                <w:szCs w:val="20"/>
              </w:rPr>
              <w:t xml:space="preserve">Les données d’observation soulignent un écart entre les annonces et l’activité réelle : sur les sociétés enregistrées, </w:t>
            </w:r>
            <w:r>
              <w:rPr>
                <w:rFonts w:ascii="Calibri" w:cs="Calibri" w:eastAsia="Calibri" w:hAnsi="Calibri"/>
                <w:b/>
                <w:bCs/>
                <w:color w:val="1B2A2C"/>
                <w:sz w:val="20"/>
                <w:szCs w:val="20"/>
              </w:rPr>
              <w:t xml:space="preserve">une minorité seulement</w:t>
            </w:r>
            <w:r>
              <w:rPr>
                <w:rFonts w:ascii="Calibri" w:cs="Calibri" w:eastAsia="Calibri" w:hAnsi="Calibri"/>
                <w:color w:val="1B2A2C"/>
                <w:sz w:val="20"/>
                <w:szCs w:val="20"/>
              </w:rPr>
              <w:t xml:space="preserve"> est effectivement en activité (de l’ordre de 60 sur 230 selon un bilan, et moins de 10 % sur un échantillon d’annonces au JORT).</w:t>
            </w:r>
            <w:r>
              <w:rPr>
                <w:rStyle w:val="FootnoteReference"/>
              </w:rPr>
              <w:footnoteReference w:id="90"/>
            </w:r>
            <w:r>
              <w:rPr>
                <w:rFonts w:ascii="Calibri" w:cs="Calibri" w:eastAsia="Calibri" w:hAnsi="Calibri"/>
                <w:color w:val="1B2A2C"/>
                <w:sz w:val="20"/>
                <w:szCs w:val="20"/>
              </w:rPr>
              <w:t xml:space="preserve"> Le modèle reste donc à consolider sur le plan opérationnel.</w:t>
            </w:r>
          </w:p>
        </w:tc>
      </w:tr>
    </w:tbl>
    <w:p>
      <w:pPr>
        <w:pStyle w:val="Heading2"/>
        <w:spacing w:after="100" w:before="240"/>
      </w:pPr>
      <w:r>
        <w:rPr>
          <w:rFonts w:ascii="Calibri" w:cs="Calibri" w:eastAsia="Calibri" w:hAnsi="Calibri"/>
          <w:b/>
          <w:bCs/>
          <w:color w:val="0C4E54"/>
          <w:sz w:val="25"/>
          <w:szCs w:val="25"/>
        </w:rPr>
        <w:t xml:space="preserve">9.2 Répartition sectorielle</w:t>
      </w:r>
    </w:p>
    <w:p>
      <w:pPr>
        <w:spacing w:after="140" w:before="0" w:line="276"/>
        <w:jc w:val="both"/>
      </w:pPr>
      <w:r>
        <w:rPr>
          <w:rFonts w:ascii="Calibri" w:cs="Calibri" w:eastAsia="Calibri" w:hAnsi="Calibri"/>
          <w:color w:val="1B2A2C"/>
          <w:sz w:val="21"/>
          <w:szCs w:val="21"/>
        </w:rPr>
        <w:t xml:space="preserve">L’activité est largement dominée par le secteur agricole, suivi du transport et du tourisme. Sur un échantillon de plus de 500 annonces analysées par l’observatoire Ahli :</w:t>
      </w:r>
      <w:r>
        <w:rPr>
          <w:rStyle w:val="FootnoteReference"/>
        </w:rPr>
        <w:footnoteReference w:id="91"/>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3370"/>
        <w:gridCol w:w="2246"/>
      </w:tblGrid>
      <w:tr>
        <w:trPr>
          <w:cantSplit/>
          <w:tblHeader/>
        </w:trPr>
        <w:tc>
          <w:tcPr>
            <w:tcW w:type="dxa" w:w="3744"/>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Secteur</w:t>
            </w:r>
          </w:p>
        </w:tc>
        <w:tc>
          <w:tcPr>
            <w:tcW w:type="dxa" w:w="3370"/>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Nombre de sociétés (échantillon observé)</w:t>
            </w:r>
          </w:p>
        </w:tc>
        <w:tc>
          <w:tcPr>
            <w:tcW w:type="dxa" w:w="2246"/>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Poids relatif</w:t>
            </w:r>
          </w:p>
        </w:tc>
      </w:tr>
      <w:tr>
        <w:trPr>
          <w:cantSplit/>
        </w:trPr>
        <w:tc>
          <w:tcPr>
            <w:tcW w:type="dxa" w:w="3744"/>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Agriculture, services agricoles, pêche, élevage</w:t>
            </w:r>
          </w:p>
        </w:tc>
        <w:tc>
          <w:tcPr>
            <w:tcW w:type="dxa" w:w="3370"/>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268</w:t>
            </w:r>
          </w:p>
        </w:tc>
        <w:tc>
          <w:tcPr>
            <w:tcW w:type="dxa" w:w="2246"/>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Dominant</w:t>
            </w:r>
          </w:p>
        </w:tc>
      </w:tr>
      <w:tr>
        <w:trPr>
          <w:cantSplit/>
        </w:trPr>
        <w:tc>
          <w:tcPr>
            <w:tcW w:type="dxa" w:w="3744"/>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Transport</w:t>
            </w:r>
          </w:p>
        </w:tc>
        <w:tc>
          <w:tcPr>
            <w:tcW w:type="dxa" w:w="3370"/>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53</w:t>
            </w:r>
          </w:p>
        </w:tc>
        <w:tc>
          <w:tcPr>
            <w:tcW w:type="dxa" w:w="2246"/>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Significatif</w:t>
            </w:r>
          </w:p>
        </w:tc>
      </w:tr>
      <w:tr>
        <w:trPr>
          <w:cantSplit/>
        </w:trPr>
        <w:tc>
          <w:tcPr>
            <w:tcW w:type="dxa" w:w="3744"/>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Tourisme et loisirs</w:t>
            </w:r>
          </w:p>
        </w:tc>
        <w:tc>
          <w:tcPr>
            <w:tcW w:type="dxa" w:w="3370"/>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26</w:t>
            </w:r>
          </w:p>
        </w:tc>
        <w:tc>
          <w:tcPr>
            <w:tcW w:type="dxa" w:w="2246"/>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Émergent</w:t>
            </w:r>
          </w:p>
        </w:tc>
      </w:tr>
      <w:tr>
        <w:trPr>
          <w:cantSplit/>
        </w:trPr>
        <w:tc>
          <w:tcPr>
            <w:tcW w:type="dxa" w:w="3744"/>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Industrie, environnement, santé, autres</w:t>
            </w:r>
          </w:p>
        </w:tc>
        <w:tc>
          <w:tcPr>
            <w:tcW w:type="dxa" w:w="3370"/>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Réparti</w:t>
            </w:r>
          </w:p>
        </w:tc>
        <w:tc>
          <w:tcPr>
            <w:tcW w:type="dxa" w:w="2246"/>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Diversification</w:t>
            </w:r>
          </w:p>
        </w:tc>
      </w:tr>
    </w:tbl>
    <w:p>
      <w:pPr>
        <w:spacing w:after="140" w:before="0" w:line="276"/>
        <w:jc w:val="both"/>
      </w:pPr>
      <w:r>
        <w:rPr>
          <w:rFonts w:ascii="Calibri" w:cs="Calibri" w:eastAsia="Calibri" w:hAnsi="Calibri"/>
          <w:color w:val="1B2A2C"/>
          <w:sz w:val="21"/>
          <w:szCs w:val="21"/>
        </w:rPr>
        <w:t xml:space="preserve">Cette prédominance agricole s’explique par la nature des ressources locales valorisables et par les priorités de développement régional, notamment dans les délégations rurales et l’intérieur du pays.</w:t>
      </w:r>
      <w:r>
        <w:rPr>
          <w:rStyle w:val="FootnoteReference"/>
        </w:rPr>
        <w:footnoteReference w:id="92"/>
      </w:r>
    </w:p>
    <w:p>
      <w:pPr>
        <w:pStyle w:val="Heading2"/>
        <w:spacing w:after="100" w:before="240"/>
      </w:pPr>
      <w:r>
        <w:rPr>
          <w:rFonts w:ascii="Calibri" w:cs="Calibri" w:eastAsia="Calibri" w:hAnsi="Calibri"/>
          <w:b/>
          <w:bCs/>
          <w:color w:val="0C4E54"/>
          <w:sz w:val="25"/>
          <w:szCs w:val="25"/>
        </w:rPr>
        <w:t xml:space="preserve">9.3 Exemples de sociétés constituées</w:t>
      </w:r>
    </w:p>
    <w:p>
      <w:pPr>
        <w:spacing w:after="140" w:before="0" w:line="276"/>
        <w:jc w:val="both"/>
      </w:pPr>
      <w:r>
        <w:rPr>
          <w:rFonts w:ascii="Calibri" w:cs="Calibri" w:eastAsia="Calibri" w:hAnsi="Calibri"/>
          <w:color w:val="1B2A2C"/>
          <w:sz w:val="21"/>
          <w:szCs w:val="21"/>
        </w:rPr>
        <w:t xml:space="preserve">Les exemples ci-dessous, issus des annonces officielles, illustrent la diversité des projets, des territoires et des montants de capital (les capitaux observés reflètent les seuils abaissés de 2025) :</w:t>
      </w:r>
      <w:r>
        <w:rPr>
          <w:rStyle w:val="FootnoteReference"/>
        </w:rPr>
        <w:footnoteReference w:id="93"/>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8"/>
        <w:gridCol w:w="1310"/>
        <w:gridCol w:w="1685"/>
        <w:gridCol w:w="2059"/>
        <w:gridCol w:w="1498"/>
      </w:tblGrid>
      <w:tr>
        <w:trPr>
          <w:cantSplit/>
          <w:tblHeader/>
        </w:trPr>
        <w:tc>
          <w:tcPr>
            <w:tcW w:type="dxa" w:w="2808"/>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Société</w:t>
            </w:r>
          </w:p>
        </w:tc>
        <w:tc>
          <w:tcPr>
            <w:tcW w:type="dxa" w:w="1310"/>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Type</w:t>
            </w:r>
          </w:p>
        </w:tc>
        <w:tc>
          <w:tcPr>
            <w:tcW w:type="dxa" w:w="1685"/>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Gouvernorat</w:t>
            </w:r>
          </w:p>
        </w:tc>
        <w:tc>
          <w:tcPr>
            <w:tcW w:type="dxa" w:w="2059"/>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Secteur</w:t>
            </w:r>
          </w:p>
        </w:tc>
        <w:tc>
          <w:tcPr>
            <w:tcW w:type="dxa" w:w="1498"/>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Capital (DT)</w:t>
            </w:r>
          </w:p>
        </w:tc>
      </w:tr>
      <w:tr>
        <w:trPr>
          <w:cantSplit/>
        </w:trPr>
        <w:tc>
          <w:tcPr>
            <w:tcW w:type="dxa" w:w="280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Al-Kheir</w:t>
            </w:r>
          </w:p>
        </w:tc>
        <w:tc>
          <w:tcPr>
            <w:tcW w:type="dxa" w:w="1310"/>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Locale</w:t>
            </w:r>
          </w:p>
        </w:tc>
        <w:tc>
          <w:tcPr>
            <w:tcW w:type="dxa" w:w="1685"/>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Sidi Bouzid</w:t>
            </w:r>
          </w:p>
        </w:tc>
        <w:tc>
          <w:tcPr>
            <w:tcW w:type="dxa" w:w="205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Agriculture</w:t>
            </w:r>
          </w:p>
        </w:tc>
        <w:tc>
          <w:tcPr>
            <w:tcW w:type="dxa" w:w="149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5 000</w:t>
            </w:r>
          </w:p>
        </w:tc>
      </w:tr>
      <w:tr>
        <w:trPr>
          <w:cantSplit/>
        </w:trPr>
        <w:tc>
          <w:tcPr>
            <w:tcW w:type="dxa" w:w="2808"/>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Al Manara</w:t>
            </w:r>
          </w:p>
        </w:tc>
        <w:tc>
          <w:tcPr>
            <w:tcW w:type="dxa" w:w="1310"/>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Locale</w:t>
            </w:r>
          </w:p>
        </w:tc>
        <w:tc>
          <w:tcPr>
            <w:tcW w:type="dxa" w:w="1685"/>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Médenine</w:t>
            </w:r>
          </w:p>
        </w:tc>
        <w:tc>
          <w:tcPr>
            <w:tcW w:type="dxa" w:w="2059"/>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Pêche</w:t>
            </w:r>
          </w:p>
        </w:tc>
        <w:tc>
          <w:tcPr>
            <w:tcW w:type="dxa" w:w="1498"/>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5 000</w:t>
            </w:r>
          </w:p>
        </w:tc>
      </w:tr>
      <w:tr>
        <w:trPr>
          <w:cantSplit/>
        </w:trPr>
        <w:tc>
          <w:tcPr>
            <w:tcW w:type="dxa" w:w="280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WASSELNI</w:t>
            </w:r>
          </w:p>
        </w:tc>
        <w:tc>
          <w:tcPr>
            <w:tcW w:type="dxa" w:w="1310"/>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Régionale</w:t>
            </w:r>
          </w:p>
        </w:tc>
        <w:tc>
          <w:tcPr>
            <w:tcW w:type="dxa" w:w="1685"/>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Ben Arous</w:t>
            </w:r>
          </w:p>
        </w:tc>
        <w:tc>
          <w:tcPr>
            <w:tcW w:type="dxa" w:w="205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Transport</w:t>
            </w:r>
          </w:p>
        </w:tc>
        <w:tc>
          <w:tcPr>
            <w:tcW w:type="dxa" w:w="149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10 000</w:t>
            </w:r>
          </w:p>
        </w:tc>
      </w:tr>
      <w:tr>
        <w:trPr>
          <w:cantSplit/>
        </w:trPr>
        <w:tc>
          <w:tcPr>
            <w:tcW w:type="dxa" w:w="2808"/>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Durra Tourisme et loisirs</w:t>
            </w:r>
          </w:p>
        </w:tc>
        <w:tc>
          <w:tcPr>
            <w:tcW w:type="dxa" w:w="1310"/>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Locale</w:t>
            </w:r>
          </w:p>
        </w:tc>
        <w:tc>
          <w:tcPr>
            <w:tcW w:type="dxa" w:w="1685"/>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Nabeul</w:t>
            </w:r>
          </w:p>
        </w:tc>
        <w:tc>
          <w:tcPr>
            <w:tcW w:type="dxa" w:w="2059"/>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Tourisme</w:t>
            </w:r>
          </w:p>
        </w:tc>
        <w:tc>
          <w:tcPr>
            <w:tcW w:type="dxa" w:w="1498"/>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8 000</w:t>
            </w:r>
          </w:p>
        </w:tc>
      </w:tr>
      <w:tr>
        <w:trPr>
          <w:cantSplit/>
        </w:trPr>
        <w:tc>
          <w:tcPr>
            <w:tcW w:type="dxa" w:w="280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Soc. locale des industries plastiques</w:t>
            </w:r>
          </w:p>
        </w:tc>
        <w:tc>
          <w:tcPr>
            <w:tcW w:type="dxa" w:w="1310"/>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Locale</w:t>
            </w:r>
          </w:p>
        </w:tc>
        <w:tc>
          <w:tcPr>
            <w:tcW w:type="dxa" w:w="1685"/>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Ben Arous</w:t>
            </w:r>
          </w:p>
        </w:tc>
        <w:tc>
          <w:tcPr>
            <w:tcW w:type="dxa" w:w="205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Industrie</w:t>
            </w:r>
          </w:p>
        </w:tc>
        <w:tc>
          <w:tcPr>
            <w:tcW w:type="dxa" w:w="149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5 000</w:t>
            </w:r>
          </w:p>
        </w:tc>
      </w:tr>
      <w:tr>
        <w:trPr>
          <w:cantSplit/>
        </w:trPr>
        <w:tc>
          <w:tcPr>
            <w:tcW w:type="dxa" w:w="2808"/>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Inst. sup. privé des sciences de la santé</w:t>
            </w:r>
          </w:p>
        </w:tc>
        <w:tc>
          <w:tcPr>
            <w:tcW w:type="dxa" w:w="1310"/>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Régionale</w:t>
            </w:r>
          </w:p>
        </w:tc>
        <w:tc>
          <w:tcPr>
            <w:tcW w:type="dxa" w:w="1685"/>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Médenine</w:t>
            </w:r>
          </w:p>
        </w:tc>
        <w:tc>
          <w:tcPr>
            <w:tcW w:type="dxa" w:w="2059"/>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Santé</w:t>
            </w:r>
          </w:p>
        </w:tc>
        <w:tc>
          <w:tcPr>
            <w:tcW w:type="dxa" w:w="1498"/>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10 000</w:t>
            </w:r>
          </w:p>
        </w:tc>
      </w:tr>
      <w:tr>
        <w:trPr>
          <w:cantSplit/>
        </w:trPr>
        <w:tc>
          <w:tcPr>
            <w:tcW w:type="dxa" w:w="280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Horizon du Nord de transport</w:t>
            </w:r>
          </w:p>
        </w:tc>
        <w:tc>
          <w:tcPr>
            <w:tcW w:type="dxa" w:w="1310"/>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Régionale</w:t>
            </w:r>
          </w:p>
        </w:tc>
        <w:tc>
          <w:tcPr>
            <w:tcW w:type="dxa" w:w="1685"/>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Bizerte</w:t>
            </w:r>
          </w:p>
        </w:tc>
        <w:tc>
          <w:tcPr>
            <w:tcW w:type="dxa" w:w="205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Transport</w:t>
            </w:r>
          </w:p>
        </w:tc>
        <w:tc>
          <w:tcPr>
            <w:tcW w:type="dxa" w:w="1498"/>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15 000</w:t>
            </w:r>
          </w:p>
        </w:tc>
      </w:tr>
      <w:tr>
        <w:trPr>
          <w:cantSplit/>
        </w:trPr>
        <w:tc>
          <w:tcPr>
            <w:tcW w:type="dxa" w:w="2808"/>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Soc. régionale de services environnementaux</w:t>
            </w:r>
          </w:p>
        </w:tc>
        <w:tc>
          <w:tcPr>
            <w:tcW w:type="dxa" w:w="1310"/>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Régionale</w:t>
            </w:r>
          </w:p>
        </w:tc>
        <w:tc>
          <w:tcPr>
            <w:tcW w:type="dxa" w:w="1685"/>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Tunis</w:t>
            </w:r>
          </w:p>
        </w:tc>
        <w:tc>
          <w:tcPr>
            <w:tcW w:type="dxa" w:w="2059"/>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Environnement</w:t>
            </w:r>
          </w:p>
        </w:tc>
        <w:tc>
          <w:tcPr>
            <w:tcW w:type="dxa" w:w="1498"/>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10 000</w:t>
            </w:r>
          </w:p>
        </w:tc>
      </w:tr>
    </w:tbl>
    <w:p>
      <w:pPr>
        <w:pStyle w:val="Heading2"/>
        <w:spacing w:after="100" w:before="240"/>
      </w:pPr>
      <w:r>
        <w:rPr>
          <w:rFonts w:ascii="Calibri" w:cs="Calibri" w:eastAsia="Calibri" w:hAnsi="Calibri"/>
          <w:b/>
          <w:bCs/>
          <w:color w:val="0C4E54"/>
          <w:sz w:val="25"/>
          <w:szCs w:val="25"/>
        </w:rPr>
        <w:t xml:space="preserve">9.4 Le registre national numérique</w:t>
      </w:r>
    </w:p>
    <w:p>
      <w:pPr>
        <w:spacing w:after="140" w:before="0" w:line="276"/>
        <w:jc w:val="both"/>
      </w:pPr>
      <w:r>
        <w:rPr>
          <w:rFonts w:ascii="Calibri" w:cs="Calibri" w:eastAsia="Calibri" w:hAnsi="Calibri"/>
          <w:color w:val="1B2A2C"/>
          <w:sz w:val="21"/>
          <w:szCs w:val="21"/>
        </w:rPr>
        <w:t xml:space="preserve">La Tunisie a lancé une plateforme numérique dédiée (alahlia.tn / registre national des sociétés communautaires), centralisant les données, inscriptions et mises à jour. À son lancement, la plateforme recensait une forte implication citoyenne, avec des milliers de participants et de diplômés mobilisés.</w:t>
      </w:r>
      <w:r>
        <w:rPr>
          <w:rStyle w:val="FootnoteReference"/>
        </w:rPr>
        <w:footnoteReference w:id="94"/>
      </w:r>
      <w:r>
        <w:rPr>
          <w:rFonts w:ascii="Calibri" w:cs="Calibri" w:eastAsia="Calibri" w:hAnsi="Calibri"/>
          <w:color w:val="1B2A2C"/>
          <w:sz w:val="21"/>
          <w:szCs w:val="21"/>
        </w:rPr>
        <w:t xml:space="preserve"> Le ministère de l’Emploi affichait un objectif de </w:t>
      </w:r>
      <w:r>
        <w:rPr>
          <w:rFonts w:ascii="Calibri" w:cs="Calibri" w:eastAsia="Calibri" w:hAnsi="Calibri"/>
          <w:b/>
          <w:bCs/>
          <w:color w:val="1B2A2C"/>
          <w:sz w:val="21"/>
          <w:szCs w:val="21"/>
        </w:rPr>
        <w:t xml:space="preserve">400 nouvelles sociétés communautaires en 2026</w:t>
      </w:r>
      <w:r>
        <w:rPr>
          <w:rFonts w:ascii="Calibri" w:cs="Calibri" w:eastAsia="Calibri" w:hAnsi="Calibri"/>
          <w:color w:val="1B2A2C"/>
          <w:sz w:val="21"/>
          <w:szCs w:val="21"/>
        </w:rPr>
        <w:t xml:space="preserve">, accompagné d’un renforcement des lignes de financement.</w:t>
      </w:r>
      <w:r>
        <w:rPr>
          <w:rStyle w:val="FootnoteReference"/>
        </w:rPr>
        <w:footnoteReference w:id="95"/>
      </w:r>
    </w:p>
    <w:p>
      <w:pPr>
        <w:pStyle w:val="Heading1"/>
        <w:pageBreakBefore/>
        <w:pBdr>
          <w:bottom w:val="single" w:color="01696F" w:sz="12" w:space="6"/>
        </w:pBdr>
        <w:spacing w:after="60" w:before="120"/>
      </w:pPr>
      <w:r>
        <w:rPr>
          <w:rFonts w:ascii="Calibri" w:cs="Calibri" w:eastAsia="Calibri" w:hAnsi="Calibri"/>
          <w:b/>
          <w:bCs/>
          <w:color w:val="0C4E54"/>
          <w:sz w:val="32"/>
          <w:szCs w:val="32"/>
        </w:rPr>
        <w:t xml:space="preserve">10. Défis, risques et recommandations</w:t>
      </w:r>
    </w:p>
    <w:p>
      <w:pPr>
        <w:spacing w:after="160" w:line="290"/>
        <w:jc w:val="both"/>
      </w:pPr>
      <w:r>
        <w:rPr>
          <w:rFonts w:ascii="Calibri" w:cs="Calibri" w:eastAsia="Calibri" w:hAnsi="Calibri"/>
          <w:color w:val="1B2A2C"/>
          <w:sz w:val="22"/>
          <w:szCs w:val="22"/>
        </w:rPr>
        <w:t xml:space="preserve">Le modèle communautaire porte une ambition forte, mais son déploiement révèle des points de vigilance que tout porteur de projet doit intégrer.</w:t>
      </w:r>
    </w:p>
    <w:p>
      <w:pPr>
        <w:pStyle w:val="Heading2"/>
        <w:spacing w:after="100" w:before="240"/>
      </w:pPr>
      <w:r>
        <w:rPr>
          <w:rFonts w:ascii="Calibri" w:cs="Calibri" w:eastAsia="Calibri" w:hAnsi="Calibri"/>
          <w:b/>
          <w:bCs/>
          <w:color w:val="0C4E54"/>
          <w:sz w:val="25"/>
          <w:szCs w:val="25"/>
        </w:rPr>
        <w:t xml:space="preserve">10.1 Les défis observés</w:t>
      </w:r>
    </w:p>
    <w:p>
      <w:pPr>
        <w:pStyle w:val="ListParagraph"/>
        <w:numPr>
          <w:ilvl w:val="0"/>
          <w:numId w:val="2"/>
        </w:numPr>
        <w:spacing w:after="70" w:line="268"/>
        <w:jc w:val="both"/>
      </w:pPr>
      <w:r>
        <w:rPr>
          <w:rFonts w:ascii="Calibri" w:cs="Calibri" w:eastAsia="Calibri" w:hAnsi="Calibri"/>
          <w:b/>
          <w:bCs/>
          <w:color w:val="1B2A2C"/>
          <w:sz w:val="21"/>
          <w:szCs w:val="21"/>
        </w:rPr>
        <w:t xml:space="preserve">Passage à l’activité effective</w:t>
      </w:r>
      <w:r>
        <w:rPr>
          <w:rFonts w:ascii="Calibri" w:cs="Calibri" w:eastAsia="Calibri" w:hAnsi="Calibri"/>
          <w:color w:val="1B2A2C"/>
          <w:sz w:val="21"/>
          <w:szCs w:val="21"/>
        </w:rPr>
        <w:t xml:space="preserve"> : l’écart entre sociétés enregistrées et sociétés réellement opérationnelles reste important.</w:t>
      </w:r>
      <w:r>
        <w:rPr>
          <w:rStyle w:val="FootnoteReference"/>
        </w:rPr>
        <w:footnoteReference w:id="96"/>
      </w:r>
    </w:p>
    <w:p>
      <w:pPr>
        <w:pStyle w:val="ListParagraph"/>
        <w:numPr>
          <w:ilvl w:val="0"/>
          <w:numId w:val="2"/>
        </w:numPr>
        <w:spacing w:after="70" w:line="268"/>
        <w:jc w:val="both"/>
      </w:pPr>
      <w:r>
        <w:rPr>
          <w:rFonts w:ascii="Calibri" w:cs="Calibri" w:eastAsia="Calibri" w:hAnsi="Calibri"/>
          <w:b/>
          <w:bCs/>
          <w:color w:val="1B2A2C"/>
          <w:sz w:val="21"/>
          <w:szCs w:val="21"/>
        </w:rPr>
        <w:t xml:space="preserve">Accès au financement</w:t>
      </w:r>
      <w:r>
        <w:rPr>
          <w:rFonts w:ascii="Calibri" w:cs="Calibri" w:eastAsia="Calibri" w:hAnsi="Calibri"/>
          <w:color w:val="1B2A2C"/>
          <w:sz w:val="21"/>
          <w:szCs w:val="21"/>
        </w:rPr>
        <w:t xml:space="preserve"> : malgré les lignes dédiées, des porteurs de projets ont rencontré des difficultés concrètes pour mobiliser les crédits, notamment au démarrage.</w:t>
      </w:r>
      <w:r>
        <w:rPr>
          <w:rStyle w:val="FootnoteReference"/>
        </w:rPr>
        <w:footnoteReference w:id="97"/>
      </w:r>
    </w:p>
    <w:p>
      <w:pPr>
        <w:pStyle w:val="ListParagraph"/>
        <w:numPr>
          <w:ilvl w:val="0"/>
          <w:numId w:val="2"/>
        </w:numPr>
        <w:spacing w:after="70" w:line="268"/>
        <w:jc w:val="both"/>
      </w:pPr>
      <w:r>
        <w:rPr>
          <w:rFonts w:ascii="Calibri" w:cs="Calibri" w:eastAsia="Calibri" w:hAnsi="Calibri"/>
          <w:b/>
          <w:bCs/>
          <w:color w:val="1B2A2C"/>
          <w:sz w:val="21"/>
          <w:szCs w:val="21"/>
        </w:rPr>
        <w:t xml:space="preserve">Maturité du modèle</w:t>
      </w:r>
      <w:r>
        <w:rPr>
          <w:rFonts w:ascii="Calibri" w:cs="Calibri" w:eastAsia="Calibri" w:hAnsi="Calibri"/>
          <w:color w:val="1B2A2C"/>
          <w:sz w:val="21"/>
          <w:szCs w:val="21"/>
        </w:rPr>
        <w:t xml:space="preserve"> : structure encore jeune, dont les pratiques de gouvernance et de gestion se construisent au fil des premières expériences.</w:t>
      </w:r>
      <w:r>
        <w:rPr>
          <w:rStyle w:val="FootnoteReference"/>
        </w:rPr>
        <w:footnoteReference w:id="98"/>
      </w:r>
    </w:p>
    <w:p>
      <w:pPr>
        <w:pStyle w:val="ListParagraph"/>
        <w:numPr>
          <w:ilvl w:val="0"/>
          <w:numId w:val="2"/>
        </w:numPr>
        <w:spacing w:after="70" w:line="268"/>
        <w:jc w:val="both"/>
      </w:pPr>
      <w:r>
        <w:rPr>
          <w:rFonts w:ascii="Calibri" w:cs="Calibri" w:eastAsia="Calibri" w:hAnsi="Calibri"/>
          <w:b/>
          <w:bCs/>
          <w:color w:val="1B2A2C"/>
          <w:sz w:val="21"/>
          <w:szCs w:val="21"/>
        </w:rPr>
        <w:t xml:space="preserve">Complexité des formalités</w:t>
      </w:r>
      <w:r>
        <w:rPr>
          <w:rFonts w:ascii="Calibri" w:cs="Calibri" w:eastAsia="Calibri" w:hAnsi="Calibri"/>
          <w:color w:val="1B2A2C"/>
          <w:sz w:val="21"/>
          <w:szCs w:val="21"/>
        </w:rPr>
        <w:t xml:space="preserve"> : la séquence de constitution, bien que simplifiée en 2025, demeure exigeante en publicité légale et en coordination entre acteurs.</w:t>
      </w:r>
      <w:r>
        <w:rPr>
          <w:rStyle w:val="FootnoteReference"/>
        </w:rPr>
        <w:footnoteReference w:id="99"/>
      </w:r>
    </w:p>
    <w:p>
      <w:pPr>
        <w:pStyle w:val="ListParagraph"/>
        <w:numPr>
          <w:ilvl w:val="0"/>
          <w:numId w:val="2"/>
        </w:numPr>
        <w:spacing w:after="70" w:line="268"/>
        <w:jc w:val="both"/>
      </w:pPr>
      <w:r>
        <w:rPr>
          <w:rFonts w:ascii="Calibri" w:cs="Calibri" w:eastAsia="Calibri" w:hAnsi="Calibri"/>
          <w:b/>
          <w:bCs/>
          <w:color w:val="1B2A2C"/>
          <w:sz w:val="21"/>
          <w:szCs w:val="21"/>
        </w:rPr>
        <w:t xml:space="preserve">Pérennité économique</w:t>
      </w:r>
      <w:r>
        <w:rPr>
          <w:rFonts w:ascii="Calibri" w:cs="Calibri" w:eastAsia="Calibri" w:hAnsi="Calibri"/>
          <w:color w:val="1B2A2C"/>
          <w:sz w:val="21"/>
          <w:szCs w:val="21"/>
        </w:rPr>
        <w:t xml:space="preserve"> : la priorité donnée au réinvestissement et le plafonnement de la distribution supposent un modèle économique solide et une vision de long terme.</w:t>
      </w:r>
    </w:p>
    <w:p>
      <w:pPr>
        <w:pStyle w:val="Heading2"/>
        <w:spacing w:after="100" w:before="240"/>
      </w:pPr>
      <w:r>
        <w:rPr>
          <w:rFonts w:ascii="Calibri" w:cs="Calibri" w:eastAsia="Calibri" w:hAnsi="Calibri"/>
          <w:b/>
          <w:bCs/>
          <w:color w:val="0C4E54"/>
          <w:sz w:val="25"/>
          <w:szCs w:val="25"/>
        </w:rPr>
        <w:t xml:space="preserve">10.2 Les leviers de la réforme 2025</w:t>
      </w:r>
    </w:p>
    <w:p>
      <w:pPr>
        <w:spacing w:after="140" w:before="0" w:line="276"/>
        <w:jc w:val="both"/>
      </w:pPr>
      <w:r>
        <w:rPr>
          <w:rFonts w:ascii="Calibri" w:cs="Calibri" w:eastAsia="Calibri" w:hAnsi="Calibri"/>
          <w:color w:val="1B2A2C"/>
          <w:sz w:val="21"/>
          <w:szCs w:val="21"/>
        </w:rPr>
        <w:t xml:space="preserve">Le décret-loi n° 2025-3 a précisément cherché à lever plusieurs de ces freins :</w:t>
      </w:r>
      <w:r>
        <w:rPr>
          <w:rStyle w:val="FootnoteReference"/>
        </w:rPr>
        <w:footnoteReference w:id="100"/>
      </w:r>
    </w:p>
    <w:p>
      <w:pPr>
        <w:pStyle w:val="ListParagraph"/>
        <w:numPr>
          <w:ilvl w:val="0"/>
          <w:numId w:val="2"/>
        </w:numPr>
        <w:spacing w:after="70" w:line="268"/>
        <w:jc w:val="both"/>
      </w:pPr>
      <w:r>
        <w:rPr>
          <w:rFonts w:ascii="Calibri" w:cs="Calibri" w:eastAsia="Calibri" w:hAnsi="Calibri"/>
          <w:color w:val="1B2A2C"/>
          <w:sz w:val="21"/>
          <w:szCs w:val="21"/>
        </w:rPr>
        <w:t xml:space="preserve">abaissement des seuils de participants (10 / 15) et de capital (5 000 / 10 000 DT) ;</w:t>
      </w:r>
    </w:p>
    <w:p>
      <w:pPr>
        <w:pStyle w:val="ListParagraph"/>
        <w:numPr>
          <w:ilvl w:val="0"/>
          <w:numId w:val="2"/>
        </w:numPr>
        <w:spacing w:after="70" w:line="268"/>
        <w:jc w:val="both"/>
      </w:pPr>
      <w:r>
        <w:rPr>
          <w:rFonts w:ascii="Calibri" w:cs="Calibri" w:eastAsia="Calibri" w:hAnsi="Calibri"/>
          <w:color w:val="1B2A2C"/>
          <w:sz w:val="21"/>
          <w:szCs w:val="21"/>
        </w:rPr>
        <w:t xml:space="preserve">création d’un registre national numérique unique conférant la personnalité morale ;</w:t>
      </w:r>
    </w:p>
    <w:p>
      <w:pPr>
        <w:pStyle w:val="ListParagraph"/>
        <w:numPr>
          <w:ilvl w:val="0"/>
          <w:numId w:val="2"/>
        </w:numPr>
        <w:spacing w:after="70" w:line="268"/>
        <w:jc w:val="both"/>
      </w:pPr>
      <w:r>
        <w:rPr>
          <w:rFonts w:ascii="Calibri" w:cs="Calibri" w:eastAsia="Calibri" w:hAnsi="Calibri"/>
          <w:color w:val="1B2A2C"/>
          <w:sz w:val="21"/>
          <w:szCs w:val="21"/>
        </w:rPr>
        <w:t xml:space="preserve">simplification des procédures et clarification des avantages fiscaux ;</w:t>
      </w:r>
    </w:p>
    <w:p>
      <w:pPr>
        <w:pStyle w:val="ListParagraph"/>
        <w:numPr>
          <w:ilvl w:val="0"/>
          <w:numId w:val="2"/>
        </w:numPr>
        <w:spacing w:after="70" w:line="268"/>
        <w:jc w:val="both"/>
      </w:pPr>
      <w:r>
        <w:rPr>
          <w:rFonts w:ascii="Calibri" w:cs="Calibri" w:eastAsia="Calibri" w:hAnsi="Calibri"/>
          <w:color w:val="1B2A2C"/>
          <w:sz w:val="21"/>
          <w:szCs w:val="21"/>
        </w:rPr>
        <w:t xml:space="preserve">gouvernance resserrée (CA de 3 à 10 membres, mandats encadrés, incompatibilités) ;</w:t>
      </w:r>
    </w:p>
    <w:p>
      <w:pPr>
        <w:pStyle w:val="ListParagraph"/>
        <w:numPr>
          <w:ilvl w:val="0"/>
          <w:numId w:val="2"/>
        </w:numPr>
        <w:spacing w:after="70" w:line="268"/>
        <w:jc w:val="both"/>
      </w:pPr>
      <w:r>
        <w:rPr>
          <w:rFonts w:ascii="Calibri" w:cs="Calibri" w:eastAsia="Calibri" w:hAnsi="Calibri"/>
          <w:color w:val="1B2A2C"/>
          <w:sz w:val="21"/>
          <w:szCs w:val="21"/>
        </w:rPr>
        <w:t xml:space="preserve">dispositif d’accompagnement, de suivi et d’incitation piloté par le ministère.</w:t>
      </w:r>
    </w:p>
    <w:p>
      <w:pPr>
        <w:pStyle w:val="Heading2"/>
        <w:spacing w:after="100" w:before="240"/>
      </w:pPr>
      <w:r>
        <w:rPr>
          <w:rFonts w:ascii="Calibri" w:cs="Calibri" w:eastAsia="Calibri" w:hAnsi="Calibri"/>
          <w:b/>
          <w:bCs/>
          <w:color w:val="0C4E54"/>
          <w:sz w:val="25"/>
          <w:szCs w:val="25"/>
        </w:rPr>
        <w:t xml:space="preserve">10.3 Recommandations pratiques</w:t>
      </w:r>
    </w:p>
    <w:tbl>
      <w:tblPr>
        <w:tblW w:type="dxa" w:w="9360"/>
        <w:tblBorders>
          <w:top w:val="single" w:color="EAF1F1" w:sz="1"/>
          <w:left w:val="single" w:color="01696F" w:sz="24"/>
          <w:bottom w:val="single" w:color="EAF1F1" w:sz="1"/>
          <w:right w:val="single" w:color="EAF1F1" w:sz="1"/>
          <w:insideH w:val="none"/>
          <w:insideV w:val="none"/>
        </w:tblBorders>
      </w:tblPr>
      <w:tblGrid>
        <w:gridCol w:w="9360"/>
      </w:tblGrid>
      <w:tr>
        <w:tc>
          <w:tcPr>
            <w:tcW w:type="dxa" w:w="9360"/>
            <w:shd w:fill="EAF1F1" w:color="auto" w:val="clear"/>
            <w:tcMar>
              <w:top w:type="dxa" w:w="120"/>
              <w:left w:type="dxa" w:w="200"/>
              <w:bottom w:type="dxa" w:w="120"/>
              <w:right w:type="dxa" w:w="160"/>
            </w:tcMar>
          </w:tcPr>
          <w:p>
            <w:pPr>
              <w:spacing w:after="60"/>
            </w:pPr>
            <w:r>
              <w:rPr>
                <w:rFonts w:ascii="Calibri" w:cs="Calibri" w:eastAsia="Calibri" w:hAnsi="Calibri"/>
                <w:b/>
                <w:bCs/>
                <w:color w:val="0C4E54"/>
                <w:sz w:val="21"/>
                <w:szCs w:val="21"/>
              </w:rPr>
              <w:t xml:space="preserve">Pour les porteurs de projets</w:t>
            </w:r>
          </w:p>
          <w:p>
            <w:pPr>
              <w:spacing w:after="60" w:line="264"/>
              <w:jc w:val="both"/>
            </w:pPr>
            <w:r>
              <w:rPr>
                <w:rFonts w:ascii="Calibri" w:cs="Calibri" w:eastAsia="Calibri" w:hAnsi="Calibri"/>
                <w:color w:val="1B2A2C"/>
                <w:sz w:val="20"/>
                <w:szCs w:val="20"/>
              </w:rPr>
              <w:t xml:space="preserve">Réaliser une </w:t>
            </w:r>
            <w:r>
              <w:rPr>
                <w:rFonts w:ascii="Calibri" w:cs="Calibri" w:eastAsia="Calibri" w:hAnsi="Calibri"/>
                <w:b/>
                <w:bCs/>
                <w:color w:val="1B2A2C"/>
                <w:sz w:val="20"/>
                <w:szCs w:val="20"/>
              </w:rPr>
              <w:t xml:space="preserve">étude de faisabilité</w:t>
            </w:r>
            <w:r>
              <w:rPr>
                <w:rFonts w:ascii="Calibri" w:cs="Calibri" w:eastAsia="Calibri" w:hAnsi="Calibri"/>
                <w:color w:val="1B2A2C"/>
                <w:sz w:val="20"/>
                <w:szCs w:val="20"/>
              </w:rPr>
              <w:t xml:space="preserve"> sérieuse avant la constitution (marché, ressources, modèle économique).</w:t>
            </w:r>
          </w:p>
          <w:p>
            <w:pPr>
              <w:spacing w:after="60" w:line="264"/>
              <w:jc w:val="both"/>
            </w:pPr>
            <w:r>
              <w:rPr>
                <w:rFonts w:ascii="Calibri" w:cs="Calibri" w:eastAsia="Calibri" w:hAnsi="Calibri"/>
                <w:color w:val="1B2A2C"/>
                <w:sz w:val="20"/>
                <w:szCs w:val="20"/>
              </w:rPr>
              <w:t xml:space="preserve">Mobiliser un </w:t>
            </w:r>
            <w:r>
              <w:rPr>
                <w:rFonts w:ascii="Calibri" w:cs="Calibri" w:eastAsia="Calibri" w:hAnsi="Calibri"/>
                <w:b/>
                <w:bCs/>
                <w:color w:val="1B2A2C"/>
                <w:sz w:val="20"/>
                <w:szCs w:val="20"/>
              </w:rPr>
              <w:t xml:space="preserve">noyau de participants engagés</w:t>
            </w:r>
            <w:r>
              <w:rPr>
                <w:rFonts w:ascii="Calibri" w:cs="Calibri" w:eastAsia="Calibri" w:hAnsi="Calibri"/>
                <w:color w:val="1B2A2C"/>
                <w:sz w:val="20"/>
                <w:szCs w:val="20"/>
              </w:rPr>
              <w:t xml:space="preserve"> au-delà du seuil légal minimal, pour la solidité collective.</w:t>
            </w:r>
          </w:p>
          <w:p>
            <w:pPr>
              <w:spacing w:after="60" w:line="264"/>
              <w:jc w:val="both"/>
            </w:pPr>
            <w:r>
              <w:rPr>
                <w:rFonts w:ascii="Calibri" w:cs="Calibri" w:eastAsia="Calibri" w:hAnsi="Calibri"/>
                <w:color w:val="1B2A2C"/>
                <w:sz w:val="20"/>
                <w:szCs w:val="20"/>
              </w:rPr>
              <w:t xml:space="preserve">Construire le </w:t>
            </w:r>
            <w:r>
              <w:rPr>
                <w:rFonts w:ascii="Calibri" w:cs="Calibri" w:eastAsia="Calibri" w:hAnsi="Calibri"/>
                <w:b/>
                <w:bCs/>
                <w:color w:val="1B2A2C"/>
                <w:sz w:val="20"/>
                <w:szCs w:val="20"/>
              </w:rPr>
              <w:t xml:space="preserve">plan de financement</w:t>
            </w:r>
            <w:r>
              <w:rPr>
                <w:rFonts w:ascii="Calibri" w:cs="Calibri" w:eastAsia="Calibri" w:hAnsi="Calibri"/>
                <w:color w:val="1B2A2C"/>
                <w:sz w:val="20"/>
                <w:szCs w:val="20"/>
              </w:rPr>
              <w:t xml:space="preserve"> en intégrant les lignes dédiées, les garanties et l’horizon post-exonération (10 ans).</w:t>
            </w:r>
          </w:p>
          <w:p>
            <w:pPr>
              <w:spacing w:after="60" w:line="264"/>
              <w:jc w:val="both"/>
            </w:pPr>
            <w:r>
              <w:rPr>
                <w:rFonts w:ascii="Calibri" w:cs="Calibri" w:eastAsia="Calibri" w:hAnsi="Calibri"/>
                <w:color w:val="1B2A2C"/>
                <w:sz w:val="20"/>
                <w:szCs w:val="20"/>
              </w:rPr>
              <w:t xml:space="preserve">Mettre en place dès le départ une </w:t>
            </w:r>
            <w:r>
              <w:rPr>
                <w:rFonts w:ascii="Calibri" w:cs="Calibri" w:eastAsia="Calibri" w:hAnsi="Calibri"/>
                <w:b/>
                <w:bCs/>
                <w:color w:val="1B2A2C"/>
                <w:sz w:val="20"/>
                <w:szCs w:val="20"/>
              </w:rPr>
              <w:t xml:space="preserve">gouvernance claire</w:t>
            </w:r>
            <w:r>
              <w:rPr>
                <w:rFonts w:ascii="Calibri" w:cs="Calibri" w:eastAsia="Calibri" w:hAnsi="Calibri"/>
                <w:color w:val="1B2A2C"/>
                <w:sz w:val="20"/>
                <w:szCs w:val="20"/>
              </w:rPr>
              <w:t xml:space="preserve"> : règlement intérieur, rôles, transparence.</w:t>
            </w:r>
          </w:p>
          <w:p>
            <w:pPr>
              <w:spacing w:after="0" w:line="264"/>
              <w:jc w:val="both"/>
            </w:pPr>
            <w:r>
              <w:rPr>
                <w:rFonts w:ascii="Calibri" w:cs="Calibri" w:eastAsia="Calibri" w:hAnsi="Calibri"/>
                <w:color w:val="1B2A2C"/>
                <w:sz w:val="20"/>
                <w:szCs w:val="20"/>
              </w:rPr>
              <w:t xml:space="preserve">S’entourer d’un </w:t>
            </w:r>
            <w:r>
              <w:rPr>
                <w:rFonts w:ascii="Calibri" w:cs="Calibri" w:eastAsia="Calibri" w:hAnsi="Calibri"/>
                <w:b/>
                <w:bCs/>
                <w:color w:val="1B2A2C"/>
                <w:sz w:val="20"/>
                <w:szCs w:val="20"/>
              </w:rPr>
              <w:t xml:space="preserve">expert-comptable</w:t>
            </w:r>
            <w:r>
              <w:rPr>
                <w:rFonts w:ascii="Calibri" w:cs="Calibri" w:eastAsia="Calibri" w:hAnsi="Calibri"/>
                <w:color w:val="1B2A2C"/>
                <w:sz w:val="20"/>
                <w:szCs w:val="20"/>
              </w:rPr>
              <w:t xml:space="preserve"> et d’un </w:t>
            </w:r>
            <w:r>
              <w:rPr>
                <w:rFonts w:ascii="Calibri" w:cs="Calibri" w:eastAsia="Calibri" w:hAnsi="Calibri"/>
                <w:b/>
                <w:bCs/>
                <w:color w:val="1B2A2C"/>
                <w:sz w:val="20"/>
                <w:szCs w:val="20"/>
              </w:rPr>
              <w:t xml:space="preserve">avocat</w:t>
            </w:r>
            <w:r>
              <w:rPr>
                <w:rFonts w:ascii="Calibri" w:cs="Calibri" w:eastAsia="Calibri" w:hAnsi="Calibri"/>
                <w:color w:val="1B2A2C"/>
                <w:sz w:val="20"/>
                <w:szCs w:val="20"/>
              </w:rPr>
              <w:t xml:space="preserve"> pour la conformité juridique et fiscale durable.</w:t>
            </w:r>
          </w:p>
        </w:tc>
      </w:tr>
    </w:tbl>
    <w:p>
      <w:pPr>
        <w:pStyle w:val="Heading1"/>
        <w:pageBreakBefore/>
        <w:pBdr>
          <w:bottom w:val="single" w:color="01696F" w:sz="12" w:space="6"/>
        </w:pBdr>
        <w:spacing w:after="60" w:before="120"/>
      </w:pPr>
      <w:r>
        <w:rPr>
          <w:rFonts w:ascii="Calibri" w:cs="Calibri" w:eastAsia="Calibri" w:hAnsi="Calibri"/>
          <w:b/>
          <w:bCs/>
          <w:color w:val="0C4E54"/>
          <w:sz w:val="32"/>
          <w:szCs w:val="32"/>
        </w:rPr>
        <w:t xml:space="preserve">11. Cycle de vie, dissolution et liquidation</w:t>
      </w:r>
    </w:p>
    <w:p>
      <w:pPr>
        <w:spacing w:after="140" w:before="0" w:line="276"/>
        <w:jc w:val="both"/>
      </w:pPr>
      <w:r>
        <w:rPr>
          <w:rFonts w:ascii="Calibri" w:cs="Calibri" w:eastAsia="Calibri" w:hAnsi="Calibri"/>
          <w:color w:val="1B2A2C"/>
          <w:sz w:val="21"/>
          <w:szCs w:val="21"/>
        </w:rPr>
        <w:t xml:space="preserve">La société communautaire peut être créée ou dissoute dans les conditions définies par la loi. La </w:t>
      </w:r>
      <w:r>
        <w:rPr>
          <w:rFonts w:ascii="Calibri" w:cs="Calibri" w:eastAsia="Calibri" w:hAnsi="Calibri"/>
          <w:b/>
          <w:bCs/>
          <w:color w:val="1B2A2C"/>
          <w:sz w:val="21"/>
          <w:szCs w:val="21"/>
        </w:rPr>
        <w:t xml:space="preserve">dissolution</w:t>
      </w:r>
      <w:r>
        <w:rPr>
          <w:rFonts w:ascii="Calibri" w:cs="Calibri" w:eastAsia="Calibri" w:hAnsi="Calibri"/>
          <w:color w:val="1B2A2C"/>
          <w:sz w:val="21"/>
          <w:szCs w:val="21"/>
        </w:rPr>
        <w:t xml:space="preserve"> intervient dans des cas précis — par exemple lorsque la société perd une part importante de son capital, lorsque les objectifs fixés sont atteints, ou en cas de manquements graves constatés par la tutelle.</w:t>
      </w:r>
      <w:r>
        <w:rPr>
          <w:rStyle w:val="FootnoteReference"/>
        </w:rPr>
        <w:footnoteReference w:id="101"/>
      </w:r>
    </w:p>
    <w:p>
      <w:pPr>
        <w:spacing w:after="140" w:before="0" w:line="276"/>
        <w:jc w:val="both"/>
      </w:pPr>
      <w:r>
        <w:rPr>
          <w:rFonts w:ascii="Calibri" w:cs="Calibri" w:eastAsia="Calibri" w:hAnsi="Calibri"/>
          <w:color w:val="1B2A2C"/>
          <w:sz w:val="21"/>
          <w:szCs w:val="21"/>
        </w:rPr>
        <w:t xml:space="preserve">En cas de dissolution, la société entre en phase de </w:t>
      </w:r>
      <w:r>
        <w:rPr>
          <w:rFonts w:ascii="Calibri" w:cs="Calibri" w:eastAsia="Calibri" w:hAnsi="Calibri"/>
          <w:b/>
          <w:bCs/>
          <w:color w:val="1B2A2C"/>
          <w:sz w:val="21"/>
          <w:szCs w:val="21"/>
        </w:rPr>
        <w:t xml:space="preserve">liquidation</w:t>
      </w:r>
      <w:r>
        <w:rPr>
          <w:rFonts w:ascii="Calibri" w:cs="Calibri" w:eastAsia="Calibri" w:hAnsi="Calibri"/>
          <w:color w:val="1B2A2C"/>
          <w:sz w:val="21"/>
          <w:szCs w:val="21"/>
        </w:rPr>
        <w:t xml:space="preserve"> : ses biens sont répartis entre les participants ou utilisés pour apurer ses dettes, selon les règles applicables.</w:t>
      </w:r>
      <w:r>
        <w:rPr>
          <w:rStyle w:val="FootnoteReference"/>
        </w:rPr>
        <w:footnoteReference w:id="102"/>
      </w:r>
      <w:r>
        <w:rPr>
          <w:rFonts w:ascii="Calibri" w:cs="Calibri" w:eastAsia="Calibri" w:hAnsi="Calibri"/>
          <w:color w:val="1B2A2C"/>
          <w:sz w:val="21"/>
          <w:szCs w:val="21"/>
        </w:rPr>
        <w:t xml:space="preserve"> Par ailleurs, la réforme de 2025 confère au ministère concerné le pouvoir de </w:t>
      </w:r>
      <w:r>
        <w:rPr>
          <w:rFonts w:ascii="Calibri" w:cs="Calibri" w:eastAsia="Calibri" w:hAnsi="Calibri"/>
          <w:b/>
          <w:bCs/>
          <w:color w:val="1B2A2C"/>
          <w:sz w:val="21"/>
          <w:szCs w:val="21"/>
        </w:rPr>
        <w:t xml:space="preserve">dissoudre le conseil d’administration</w:t>
      </w:r>
      <w:r>
        <w:rPr>
          <w:rFonts w:ascii="Calibri" w:cs="Calibri" w:eastAsia="Calibri" w:hAnsi="Calibri"/>
          <w:color w:val="1B2A2C"/>
          <w:sz w:val="21"/>
          <w:szCs w:val="21"/>
        </w:rPr>
        <w:t xml:space="preserve"> en cas de manquements graves, mécanisme distinct de la dissolution de la société elle-même.</w:t>
      </w:r>
      <w:r>
        <w:rPr>
          <w:rStyle w:val="FootnoteReference"/>
        </w:rPr>
        <w:footnoteReference w:id="103"/>
      </w:r>
    </w:p>
    <w:p>
      <w:pPr>
        <w:spacing w:after="140" w:before="0" w:line="276"/>
        <w:jc w:val="both"/>
      </w:pPr>
      <w:r>
        <w:rPr>
          <w:rFonts w:ascii="Calibri" w:cs="Calibri" w:eastAsia="Calibri" w:hAnsi="Calibri"/>
          <w:color w:val="1B2A2C"/>
          <w:sz w:val="21"/>
          <w:szCs w:val="21"/>
        </w:rPr>
        <w:t xml:space="preserve">La fin de la participation d’un membre individuel intervient lorsqu’il cesse de satisfaire aux conditions d’agrément (résidence, qualité d’électeur, absence d’activité concurrente) ou en cas de manquement aux principes fondamentaux de l’activité de la société et à ses modes de gestion.</w:t>
      </w:r>
      <w:r>
        <w:rPr>
          <w:rStyle w:val="FootnoteReference"/>
        </w:rPr>
        <w:footnoteReference w:id="104"/>
      </w:r>
    </w:p>
    <w:p>
      <w:pPr>
        <w:pStyle w:val="Heading1"/>
        <w:pageBreakBefore/>
        <w:pBdr>
          <w:bottom w:val="single" w:color="01696F" w:sz="12" w:space="6"/>
        </w:pBdr>
        <w:spacing w:after="60" w:before="120"/>
      </w:pPr>
      <w:r>
        <w:rPr>
          <w:rFonts w:ascii="Calibri" w:cs="Calibri" w:eastAsia="Calibri" w:hAnsi="Calibri"/>
          <w:b/>
          <w:bCs/>
          <w:color w:val="0C4E54"/>
          <w:sz w:val="32"/>
          <w:szCs w:val="32"/>
        </w:rPr>
        <w:t xml:space="preserve">12. Questions fréquentes</w:t>
      </w:r>
    </w:p>
    <w:p>
      <w:pPr>
        <w:spacing w:after="40" w:before="140"/>
      </w:pPr>
      <w:r>
        <w:rPr>
          <w:rFonts w:ascii="Calibri" w:cs="Calibri" w:eastAsia="Calibri" w:hAnsi="Calibri"/>
          <w:b/>
          <w:bCs/>
          <w:color w:val="0C4E54"/>
          <w:sz w:val="21"/>
          <w:szCs w:val="21"/>
        </w:rPr>
        <w:t xml:space="preserve">Combien de personnes faut-il au minimum pour créer une société communautaire ?</w:t>
      </w:r>
    </w:p>
    <w:p>
      <w:pPr>
        <w:spacing w:after="140" w:before="0" w:line="276"/>
        <w:jc w:val="both"/>
      </w:pPr>
      <w:r>
        <w:rPr>
          <w:rFonts w:ascii="Calibri" w:cs="Calibri" w:eastAsia="Calibri" w:hAnsi="Calibri"/>
          <w:color w:val="1B2A2C"/>
          <w:sz w:val="21"/>
          <w:szCs w:val="21"/>
        </w:rPr>
        <w:t xml:space="preserve">Depuis la réforme de 2025 : 10 participants pour une société locale et 15 pour une société régionale. L’ancien seuil de 50 ne s’applique plus.</w:t>
      </w:r>
      <w:r>
        <w:rPr>
          <w:rStyle w:val="FootnoteReference"/>
        </w:rPr>
        <w:footnoteReference w:id="105"/>
      </w:r>
    </w:p>
    <w:p>
      <w:pPr>
        <w:spacing w:after="40" w:before="140"/>
      </w:pPr>
      <w:r>
        <w:rPr>
          <w:rFonts w:ascii="Calibri" w:cs="Calibri" w:eastAsia="Calibri" w:hAnsi="Calibri"/>
          <w:b/>
          <w:bCs/>
          <w:color w:val="0C4E54"/>
          <w:sz w:val="21"/>
          <w:szCs w:val="21"/>
        </w:rPr>
        <w:t xml:space="preserve">Quel est le capital minimum requis ?</w:t>
      </w:r>
    </w:p>
    <w:p>
      <w:pPr>
        <w:spacing w:after="140" w:before="0" w:line="276"/>
        <w:jc w:val="both"/>
      </w:pPr>
      <w:r>
        <w:rPr>
          <w:rFonts w:ascii="Calibri" w:cs="Calibri" w:eastAsia="Calibri" w:hAnsi="Calibri"/>
          <w:color w:val="1B2A2C"/>
          <w:sz w:val="21"/>
          <w:szCs w:val="21"/>
        </w:rPr>
        <w:t xml:space="preserve">5 000 dinars pour une société locale et 10 000 dinars pour une société régionale, contre 10 000 / 20 000 dinars sous le régime de 2022. Le capital doit être intégralement libéré avant l’immatriculation.</w:t>
      </w:r>
      <w:r>
        <w:rPr>
          <w:rStyle w:val="FootnoteReference"/>
        </w:rPr>
        <w:footnoteReference w:id="106"/>
      </w:r>
      <w:r>
        <w:rPr>
          <w:rStyle w:val="FootnoteReference"/>
        </w:rPr>
        <w:footnoteReference w:id="107"/>
      </w:r>
    </w:p>
    <w:p>
      <w:pPr>
        <w:spacing w:after="40" w:before="140"/>
      </w:pPr>
      <w:r>
        <w:rPr>
          <w:rFonts w:ascii="Calibri" w:cs="Calibri" w:eastAsia="Calibri" w:hAnsi="Calibri"/>
          <w:b/>
          <w:bCs/>
          <w:color w:val="0C4E54"/>
          <w:sz w:val="21"/>
          <w:szCs w:val="21"/>
        </w:rPr>
        <w:t xml:space="preserve">Peut-on être à la fois salarié et participant ?</w:t>
      </w:r>
    </w:p>
    <w:p>
      <w:pPr>
        <w:spacing w:after="140" w:before="0" w:line="276"/>
        <w:jc w:val="both"/>
      </w:pPr>
      <w:r>
        <w:rPr>
          <w:rFonts w:ascii="Calibri" w:cs="Calibri" w:eastAsia="Calibri" w:hAnsi="Calibri"/>
          <w:color w:val="1B2A2C"/>
          <w:sz w:val="21"/>
          <w:szCs w:val="21"/>
        </w:rPr>
        <w:t xml:space="preserve">Oui. L’article 13 autorise expressément le cumul des qualités de participant et de salarié au sein de la société.</w:t>
      </w:r>
      <w:r>
        <w:rPr>
          <w:rStyle w:val="FootnoteReference"/>
        </w:rPr>
        <w:footnoteReference w:id="108"/>
      </w:r>
    </w:p>
    <w:p>
      <w:pPr>
        <w:spacing w:after="40" w:before="140"/>
      </w:pPr>
      <w:r>
        <w:rPr>
          <w:rFonts w:ascii="Calibri" w:cs="Calibri" w:eastAsia="Calibri" w:hAnsi="Calibri"/>
          <w:b/>
          <w:bCs/>
          <w:color w:val="0C4E54"/>
          <w:sz w:val="21"/>
          <w:szCs w:val="21"/>
        </w:rPr>
        <w:t xml:space="preserve">Comment sont prises les décisions ?</w:t>
      </w:r>
    </w:p>
    <w:p>
      <w:pPr>
        <w:spacing w:after="140" w:before="0" w:line="276"/>
        <w:jc w:val="both"/>
      </w:pPr>
      <w:r>
        <w:rPr>
          <w:rFonts w:ascii="Calibri" w:cs="Calibri" w:eastAsia="Calibri" w:hAnsi="Calibri"/>
          <w:color w:val="1B2A2C"/>
          <w:sz w:val="21"/>
          <w:szCs w:val="21"/>
        </w:rPr>
        <w:t xml:space="preserve">Selon le principe « une personne, une voix » : chaque participant pèse de façon égale en assemblée générale, indépendamment de son apport au capital.</w:t>
      </w:r>
      <w:r>
        <w:rPr>
          <w:rStyle w:val="FootnoteReference"/>
        </w:rPr>
        <w:footnoteReference w:id="109"/>
      </w:r>
    </w:p>
    <w:p>
      <w:pPr>
        <w:spacing w:after="40" w:before="140"/>
      </w:pPr>
      <w:r>
        <w:rPr>
          <w:rFonts w:ascii="Calibri" w:cs="Calibri" w:eastAsia="Calibri" w:hAnsi="Calibri"/>
          <w:b/>
          <w:bCs/>
          <w:color w:val="0C4E54"/>
          <w:sz w:val="21"/>
          <w:szCs w:val="21"/>
        </w:rPr>
        <w:t xml:space="preserve">Quelle part des bénéfices peut être distribuée aux membres ?</w:t>
      </w:r>
    </w:p>
    <w:p>
      <w:pPr>
        <w:spacing w:after="140" w:before="0" w:line="276"/>
        <w:jc w:val="both"/>
      </w:pPr>
      <w:r>
        <w:rPr>
          <w:rFonts w:ascii="Calibri" w:cs="Calibri" w:eastAsia="Calibri" w:hAnsi="Calibri"/>
          <w:color w:val="1B2A2C"/>
          <w:sz w:val="21"/>
          <w:szCs w:val="21"/>
        </w:rPr>
        <w:t xml:space="preserve">Au maximum 35 %, sur décision de l’assemblée générale, après affectation aux réserves (15 %) et aux activités sociales (20 %), le solde (30 %) étant réinvesti.</w:t>
      </w:r>
      <w:r>
        <w:rPr>
          <w:rStyle w:val="FootnoteReference"/>
        </w:rPr>
        <w:footnoteReference w:id="110"/>
      </w:r>
    </w:p>
    <w:p>
      <w:pPr>
        <w:spacing w:after="40" w:before="140"/>
      </w:pPr>
      <w:r>
        <w:rPr>
          <w:rFonts w:ascii="Calibri" w:cs="Calibri" w:eastAsia="Calibri" w:hAnsi="Calibri"/>
          <w:b/>
          <w:bCs/>
          <w:color w:val="0C4E54"/>
          <w:sz w:val="21"/>
          <w:szCs w:val="21"/>
        </w:rPr>
        <w:t xml:space="preserve">Quels avantages fiscaux ?</w:t>
      </w:r>
    </w:p>
    <w:p>
      <w:pPr>
        <w:spacing w:after="140" w:before="0" w:line="276"/>
        <w:jc w:val="both"/>
      </w:pPr>
      <w:r>
        <w:rPr>
          <w:rFonts w:ascii="Calibri" w:cs="Calibri" w:eastAsia="Calibri" w:hAnsi="Calibri"/>
          <w:color w:val="1B2A2C"/>
          <w:sz w:val="21"/>
          <w:szCs w:val="21"/>
        </w:rPr>
        <w:t xml:space="preserve">Une exonération fiscale totale (IS, IRPP, TFP, FOPROLOS, droits d’enregistrement) et une suspension de TVA pendant 10 ans à compter de la création, sous réserve du respect des obligations déclaratives.</w:t>
      </w:r>
      <w:r>
        <w:rPr>
          <w:rStyle w:val="FootnoteReference"/>
        </w:rPr>
        <w:footnoteReference w:id="111"/>
      </w:r>
      <w:r>
        <w:rPr>
          <w:rStyle w:val="FootnoteReference"/>
        </w:rPr>
        <w:footnoteReference w:id="112"/>
      </w:r>
      <w:r>
        <w:rPr>
          <w:rStyle w:val="FootnoteReference"/>
        </w:rPr>
        <w:footnoteReference w:id="113"/>
      </w:r>
    </w:p>
    <w:p>
      <w:pPr>
        <w:spacing w:after="40" w:before="140"/>
      </w:pPr>
      <w:r>
        <w:rPr>
          <w:rFonts w:ascii="Calibri" w:cs="Calibri" w:eastAsia="Calibri" w:hAnsi="Calibri"/>
          <w:b/>
          <w:bCs/>
          <w:color w:val="0C4E54"/>
          <w:sz w:val="21"/>
          <w:szCs w:val="21"/>
        </w:rPr>
        <w:t xml:space="preserve">La société peut-elle exercer une activité politique ou caritative ?</w:t>
      </w:r>
    </w:p>
    <w:p>
      <w:pPr>
        <w:spacing w:after="140" w:before="0" w:line="276"/>
        <w:jc w:val="both"/>
      </w:pPr>
      <w:r>
        <w:rPr>
          <w:rFonts w:ascii="Calibri" w:cs="Calibri" w:eastAsia="Calibri" w:hAnsi="Calibri"/>
          <w:color w:val="1B2A2C"/>
          <w:sz w:val="21"/>
          <w:szCs w:val="21"/>
        </w:rPr>
        <w:t xml:space="preserve">Non. L’activité politique, le financement de processus politiques et les actions caritatives sont interdits (article 9).</w:t>
      </w:r>
      <w:r>
        <w:rPr>
          <w:rStyle w:val="FootnoteReference"/>
        </w:rPr>
        <w:footnoteReference w:id="114"/>
      </w:r>
    </w:p>
    <w:p>
      <w:pPr>
        <w:spacing w:after="40" w:before="140"/>
      </w:pPr>
      <w:r>
        <w:rPr>
          <w:rFonts w:ascii="Calibri" w:cs="Calibri" w:eastAsia="Calibri" w:hAnsi="Calibri"/>
          <w:b/>
          <w:bCs/>
          <w:color w:val="0C4E54"/>
          <w:sz w:val="21"/>
          <w:szCs w:val="21"/>
        </w:rPr>
        <w:t xml:space="preserve">Où s’immatricule la société ?</w:t>
      </w:r>
    </w:p>
    <w:p>
      <w:pPr>
        <w:spacing w:after="140" w:before="0" w:line="276"/>
        <w:jc w:val="both"/>
      </w:pPr>
      <w:r>
        <w:rPr>
          <w:rFonts w:ascii="Calibri" w:cs="Calibri" w:eastAsia="Calibri" w:hAnsi="Calibri"/>
          <w:color w:val="1B2A2C"/>
          <w:sz w:val="21"/>
          <w:szCs w:val="21"/>
        </w:rPr>
        <w:t xml:space="preserve">Au Registre national des sociétés communautaires, plateforme numérique dont l’inscription confère la personnalité morale et un identifiant unique depuis 2025.</w:t>
      </w:r>
      <w:r>
        <w:rPr>
          <w:rStyle w:val="FootnoteReference"/>
        </w:rPr>
        <w:footnoteReference w:id="115"/>
      </w:r>
    </w:p>
    <w:p>
      <w:pPr>
        <w:spacing w:after="40" w:before="140"/>
      </w:pPr>
      <w:r>
        <w:rPr>
          <w:rFonts w:ascii="Calibri" w:cs="Calibri" w:eastAsia="Calibri" w:hAnsi="Calibri"/>
          <w:b/>
          <w:bCs/>
          <w:color w:val="0C4E54"/>
          <w:sz w:val="21"/>
          <w:szCs w:val="21"/>
        </w:rPr>
        <w:t xml:space="preserve">Qui supervise la société ?</w:t>
      </w:r>
    </w:p>
    <w:p>
      <w:pPr>
        <w:spacing w:after="140" w:before="0" w:line="276"/>
        <w:jc w:val="both"/>
      </w:pPr>
      <w:r>
        <w:rPr>
          <w:rFonts w:ascii="Calibri" w:cs="Calibri" w:eastAsia="Calibri" w:hAnsi="Calibri"/>
          <w:color w:val="1B2A2C"/>
          <w:sz w:val="21"/>
          <w:szCs w:val="21"/>
        </w:rPr>
        <w:t xml:space="preserve">Le gouverneur pour les sociétés locales et le ministre chargé de l’économie pour les régionales ; le ministère chargé des sociétés communautaires exerce un suivi et un contrôle d’ensemble.</w:t>
      </w:r>
      <w:r>
        <w:rPr>
          <w:rStyle w:val="FootnoteReference"/>
        </w:rPr>
        <w:footnoteReference w:id="116"/>
      </w:r>
      <w:r>
        <w:rPr>
          <w:rStyle w:val="FootnoteReference"/>
        </w:rPr>
        <w:footnoteReference w:id="117"/>
      </w:r>
    </w:p>
    <w:p>
      <w:pPr>
        <w:spacing w:after="40" w:before="140"/>
      </w:pPr>
      <w:r>
        <w:rPr>
          <w:rFonts w:ascii="Calibri" w:cs="Calibri" w:eastAsia="Calibri" w:hAnsi="Calibri"/>
          <w:b/>
          <w:bCs/>
          <w:color w:val="0C4E54"/>
          <w:sz w:val="21"/>
          <w:szCs w:val="21"/>
        </w:rPr>
        <w:t xml:space="preserve">Que se passe-t-il après les 10 ans d’exonération ?</w:t>
      </w:r>
    </w:p>
    <w:p>
      <w:pPr>
        <w:spacing w:after="140" w:before="0" w:line="276"/>
        <w:jc w:val="both"/>
      </w:pPr>
      <w:r>
        <w:rPr>
          <w:rFonts w:ascii="Calibri" w:cs="Calibri" w:eastAsia="Calibri" w:hAnsi="Calibri"/>
          <w:color w:val="1B2A2C"/>
          <w:sz w:val="21"/>
          <w:szCs w:val="21"/>
        </w:rPr>
        <w:t xml:space="preserve">La société bascule dans le régime fiscal de droit commun applicable à son activité, sauf nouvelle disposition. Cette échéance doit être anticipée dans le plan financier.</w:t>
      </w:r>
    </w:p>
    <w:p>
      <w:pPr>
        <w:pStyle w:val="Heading1"/>
        <w:pageBreakBefore/>
        <w:pBdr>
          <w:bottom w:val="single" w:color="01696F" w:sz="12" w:space="6"/>
        </w:pBdr>
        <w:spacing w:after="60" w:before="120"/>
      </w:pPr>
      <w:r>
        <w:rPr>
          <w:rFonts w:ascii="Calibri" w:cs="Calibri" w:eastAsia="Calibri" w:hAnsi="Calibri"/>
          <w:b/>
          <w:bCs/>
          <w:color w:val="0C4E54"/>
          <w:sz w:val="32"/>
          <w:szCs w:val="32"/>
        </w:rPr>
        <w:t xml:space="preserve">13. Glossaire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621"/>
        <w:gridCol w:w="6739"/>
      </w:tblGrid>
      <w:tr>
        <w:trPr>
          <w:cantSplit/>
          <w:tblHeader/>
        </w:trPr>
        <w:tc>
          <w:tcPr>
            <w:tcW w:type="dxa" w:w="2621"/>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Terme</w:t>
            </w:r>
          </w:p>
        </w:tc>
        <w:tc>
          <w:tcPr>
            <w:tcW w:type="dxa" w:w="6739"/>
            <w:tcBorders>
              <w:top w:val="single" w:color="B8C4C4" w:sz="1"/>
              <w:left w:val="single" w:color="B8C4C4" w:sz="1"/>
              <w:bottom w:val="single" w:color="B8C4C4" w:sz="1"/>
              <w:right w:val="single" w:color="B8C4C4" w:sz="1"/>
            </w:tcBorders>
            <w:shd w:fill="01696F" w:color="auto" w:val="clear"/>
            <w:tcMar>
              <w:top w:type="dxa" w:w="80"/>
              <w:left w:type="dxa" w:w="110"/>
              <w:bottom w:type="dxa" w:w="80"/>
              <w:right w:type="dxa" w:w="110"/>
            </w:tcMar>
            <w:vAlign w:val="center"/>
          </w:tcPr>
          <w:p>
            <w:pPr>
              <w:spacing w:after="0" w:line="252"/>
            </w:pPr>
            <w:r>
              <w:rPr>
                <w:rFonts w:ascii="Calibri" w:cs="Calibri" w:eastAsia="Calibri" w:hAnsi="Calibri"/>
                <w:b/>
                <w:bCs/>
                <w:color w:val="FFFFFF"/>
                <w:sz w:val="19"/>
                <w:szCs w:val="19"/>
              </w:rPr>
              <w:t xml:space="preserve">Définition</w:t>
            </w:r>
          </w:p>
        </w:tc>
      </w:tr>
      <w:tr>
        <w:trPr>
          <w:cantSplit/>
        </w:trPr>
        <w:tc>
          <w:tcPr>
            <w:tcW w:type="dxa" w:w="2621"/>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Société communautaire (الشركة الأهلية)</w:t>
            </w:r>
          </w:p>
        </w:tc>
        <w:tc>
          <w:tcPr>
            <w:tcW w:type="dxa" w:w="673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Personne morale d’économie sociale et solidaire créée par un groupe communautaire pour exercer collectivement une activité économique à finalité de développement local.</w:t>
            </w:r>
          </w:p>
        </w:tc>
      </w:tr>
      <w:tr>
        <w:trPr>
          <w:cantSplit/>
        </w:trPr>
        <w:tc>
          <w:tcPr>
            <w:tcW w:type="dxa" w:w="2621"/>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Société locale</w:t>
            </w:r>
          </w:p>
        </w:tc>
        <w:tc>
          <w:tcPr>
            <w:tcW w:type="dxa" w:w="6739"/>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Société communautaire dont les participants résident dans une même délégation, supervisée par le gouverneur.</w:t>
            </w:r>
          </w:p>
        </w:tc>
      </w:tr>
      <w:tr>
        <w:trPr>
          <w:cantSplit/>
        </w:trPr>
        <w:tc>
          <w:tcPr>
            <w:tcW w:type="dxa" w:w="2621"/>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Société régionale</w:t>
            </w:r>
          </w:p>
        </w:tc>
        <w:tc>
          <w:tcPr>
            <w:tcW w:type="dxa" w:w="673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Société communautaire dont les participants résident dans plusieurs délégations d’un même gouvernorat, supervisée par le ministre chargé de l’économie.</w:t>
            </w:r>
          </w:p>
        </w:tc>
      </w:tr>
      <w:tr>
        <w:trPr>
          <w:cantSplit/>
        </w:trPr>
        <w:tc>
          <w:tcPr>
            <w:tcW w:type="dxa" w:w="2621"/>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Participant</w:t>
            </w:r>
          </w:p>
        </w:tc>
        <w:tc>
          <w:tcPr>
            <w:tcW w:type="dxa" w:w="6739"/>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Personne physique membre de la société, disposant d’une voix et de parts sociales, et dont la responsabilité est limitée à son apport.</w:t>
            </w:r>
          </w:p>
        </w:tc>
      </w:tr>
      <w:tr>
        <w:trPr>
          <w:cantSplit/>
        </w:trPr>
        <w:tc>
          <w:tcPr>
            <w:tcW w:type="dxa" w:w="2621"/>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Part sociale nominative</w:t>
            </w:r>
          </w:p>
        </w:tc>
        <w:tc>
          <w:tcPr>
            <w:tcW w:type="dxa" w:w="673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Titre représentatif de la participation au capital, nominatif et indivisible, attribué à chaque participant.</w:t>
            </w:r>
          </w:p>
        </w:tc>
      </w:tr>
      <w:tr>
        <w:trPr>
          <w:cantSplit/>
        </w:trPr>
        <w:tc>
          <w:tcPr>
            <w:tcW w:type="dxa" w:w="2621"/>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Une personne, une voix</w:t>
            </w:r>
          </w:p>
        </w:tc>
        <w:tc>
          <w:tcPr>
            <w:tcW w:type="dxa" w:w="6739"/>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Principe de gouvernance démocratique : chaque participant dispose d’une voix égale, quel que soit son apport.</w:t>
            </w:r>
          </w:p>
        </w:tc>
      </w:tr>
      <w:tr>
        <w:trPr>
          <w:cantSplit/>
        </w:trPr>
        <w:tc>
          <w:tcPr>
            <w:tcW w:type="dxa" w:w="2621"/>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Réserves obligatoires</w:t>
            </w:r>
          </w:p>
        </w:tc>
        <w:tc>
          <w:tcPr>
            <w:tcW w:type="dxa" w:w="673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Part des bénéfices (15 %) mise en réserve jusqu’à atteindre 50 % du capital, pour consolider la solidité financière.</w:t>
            </w:r>
          </w:p>
        </w:tc>
      </w:tr>
      <w:tr>
        <w:trPr>
          <w:cantSplit/>
        </w:trPr>
        <w:tc>
          <w:tcPr>
            <w:tcW w:type="dxa" w:w="2621"/>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Suspension de TVA</w:t>
            </w:r>
          </w:p>
        </w:tc>
        <w:tc>
          <w:tcPr>
            <w:tcW w:type="dxa" w:w="6739"/>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Régime fiscal permettant d’acquérir des biens et services sans TVA, sur attestation, pendant 10 ans.</w:t>
            </w:r>
          </w:p>
        </w:tc>
      </w:tr>
      <w:tr>
        <w:trPr>
          <w:cantSplit/>
        </w:trPr>
        <w:tc>
          <w:tcPr>
            <w:tcW w:type="dxa" w:w="2621"/>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Registre national des sociétés communautaires</w:t>
            </w:r>
          </w:p>
        </w:tc>
        <w:tc>
          <w:tcPr>
            <w:tcW w:type="dxa" w:w="6739"/>
            <w:tcBorders>
              <w:top w:val="single" w:color="B8C4C4" w:sz="1"/>
              <w:left w:val="single" w:color="B8C4C4" w:sz="1"/>
              <w:bottom w:val="single" w:color="B8C4C4" w:sz="1"/>
              <w:right w:val="single" w:color="B8C4C4" w:sz="1"/>
            </w:tcBorders>
            <w:shd w:fill="F1F6F6"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Plateforme numérique d’immatriculation dont l’inscription confère la personnalité morale et un identifiant unique.</w:t>
            </w:r>
          </w:p>
        </w:tc>
      </w:tr>
      <w:tr>
        <w:trPr>
          <w:cantSplit/>
        </w:trPr>
        <w:tc>
          <w:tcPr>
            <w:tcW w:type="dxa" w:w="2621"/>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Bénéficiaire réel</w:t>
            </w:r>
          </w:p>
        </w:tc>
        <w:tc>
          <w:tcPr>
            <w:tcW w:type="dxa" w:w="6739"/>
            <w:tcBorders>
              <w:top w:val="single" w:color="B8C4C4" w:sz="1"/>
              <w:left w:val="single" w:color="B8C4C4" w:sz="1"/>
              <w:bottom w:val="single" w:color="B8C4C4" w:sz="1"/>
              <w:right w:val="single" w:color="B8C4C4" w:sz="1"/>
            </w:tcBorders>
            <w:shd w:fill="FFFFFF" w:color="auto" w:val="clear"/>
            <w:tcMar>
              <w:top w:type="dxa" w:w="70"/>
              <w:left w:type="dxa" w:w="110"/>
              <w:bottom w:type="dxa" w:w="70"/>
              <w:right w:type="dxa" w:w="110"/>
            </w:tcMar>
            <w:vAlign w:val="center"/>
          </w:tcPr>
          <w:p>
            <w:pPr>
              <w:spacing w:after="0" w:line="248"/>
            </w:pPr>
            <w:r>
              <w:rPr>
                <w:rFonts w:ascii="Calibri" w:cs="Calibri" w:eastAsia="Calibri" w:hAnsi="Calibri"/>
                <w:color w:val="1B2A2C"/>
                <w:sz w:val="19"/>
                <w:szCs w:val="19"/>
              </w:rPr>
              <w:t xml:space="preserve">Personne physique identifiée comme telle au sens de l’arrêté gouvernemental n° 54 de 2019, à déclarer lors des formalités.</w:t>
            </w:r>
          </w:p>
        </w:tc>
      </w:tr>
    </w:tbl>
    <w:p>
      <w:pPr>
        <w:pStyle w:val="Heading1"/>
        <w:pageBreakBefore/>
        <w:pBdr>
          <w:bottom w:val="single" w:color="01696F" w:sz="12" w:space="6"/>
        </w:pBdr>
        <w:spacing w:after="60" w:before="120"/>
      </w:pPr>
      <w:r>
        <w:rPr>
          <w:rFonts w:ascii="Calibri" w:cs="Calibri" w:eastAsia="Calibri" w:hAnsi="Calibri"/>
          <w:b/>
          <w:bCs/>
          <w:color w:val="0C4E54"/>
          <w:sz w:val="32"/>
          <w:szCs w:val="32"/>
        </w:rPr>
        <w:t xml:space="preserve">14. Conclusion</w:t>
      </w:r>
    </w:p>
    <w:p>
      <w:pPr>
        <w:spacing w:after="140" w:before="0" w:line="276"/>
        <w:jc w:val="both"/>
      </w:pPr>
      <w:r>
        <w:rPr>
          <w:rFonts w:ascii="Calibri" w:cs="Calibri" w:eastAsia="Calibri" w:hAnsi="Calibri"/>
          <w:color w:val="1B2A2C"/>
          <w:sz w:val="21"/>
          <w:szCs w:val="21"/>
        </w:rPr>
        <w:t xml:space="preserve">La société communautaire est une innovation juridique tunisienne au service du développement régional et de l’économie sociale et solidaire. Elle offre un cadre démocratique — une personne, une voix —, une responsabilité limitée, un régime fiscal particulièrement avantageux sur dix ans et une logique de répartition des bénéfices qui privilégie la pérennité et l’utilité collective.</w:t>
      </w:r>
    </w:p>
    <w:p>
      <w:pPr>
        <w:spacing w:after="140" w:before="0" w:line="276"/>
        <w:jc w:val="both"/>
      </w:pPr>
      <w:r>
        <w:rPr>
          <w:rFonts w:ascii="Calibri" w:cs="Calibri" w:eastAsia="Calibri" w:hAnsi="Calibri"/>
          <w:color w:val="1B2A2C"/>
          <w:sz w:val="21"/>
          <w:szCs w:val="21"/>
        </w:rPr>
        <w:t xml:space="preserve">La réforme de 2025 a levé plusieurs obstacles structurels du dispositif d’origine : seuils de participation et de capital abaissés, registre national numérique, procédures simplifiées et gouvernance renforcée. Ces évolutions traduisent la volonté de transformer une ambition politique en un instrument économique opérationnel et accessible.</w:t>
      </w:r>
    </w:p>
    <w:p>
      <w:pPr>
        <w:spacing w:after="140" w:before="0" w:line="276"/>
        <w:jc w:val="both"/>
      </w:pPr>
      <w:r>
        <w:rPr>
          <w:rFonts w:ascii="Calibri" w:cs="Calibri" w:eastAsia="Calibri" w:hAnsi="Calibri"/>
          <w:color w:val="1B2A2C"/>
          <w:sz w:val="21"/>
          <w:szCs w:val="21"/>
        </w:rPr>
        <w:t xml:space="preserve">Pour autant, le succès du modèle se jouera sur le terrain : la capacité des sociétés communautaires à passer du stade de l’immatriculation à celui de l’activité durable, à mobiliser des financements adaptés et à construire une gouvernance solide. Pour le porteur de projet comme pour le professionnel qui l’accompagne, la maîtrise du cadre juridique et fiscal exposé dans ce guide constitue le socle d’une démarche réussie.</w:t>
      </w:r>
    </w:p>
    <w:tbl>
      <w:tblPr>
        <w:tblW w:type="dxa" w:w="9360"/>
        <w:tblBorders>
          <w:top w:val="single" w:color="EAF1F1" w:sz="1"/>
          <w:left w:val="single" w:color="01696F" w:sz="24"/>
          <w:bottom w:val="single" w:color="EAF1F1" w:sz="1"/>
          <w:right w:val="single" w:color="EAF1F1" w:sz="1"/>
          <w:insideH w:val="none"/>
          <w:insideV w:val="none"/>
        </w:tblBorders>
      </w:tblPr>
      <w:tblGrid>
        <w:gridCol w:w="9360"/>
      </w:tblGrid>
      <w:tr>
        <w:tc>
          <w:tcPr>
            <w:tcW w:type="dxa" w:w="9360"/>
            <w:shd w:fill="EAF1F1" w:color="auto" w:val="clear"/>
            <w:tcMar>
              <w:top w:type="dxa" w:w="120"/>
              <w:left w:type="dxa" w:w="200"/>
              <w:bottom w:type="dxa" w:w="120"/>
              <w:right w:type="dxa" w:w="160"/>
            </w:tcMar>
          </w:tcPr>
          <w:p>
            <w:pPr>
              <w:spacing w:after="60"/>
            </w:pPr>
            <w:r>
              <w:rPr>
                <w:rFonts w:ascii="Calibri" w:cs="Calibri" w:eastAsia="Calibri" w:hAnsi="Calibri"/>
                <w:b/>
                <w:bCs/>
                <w:color w:val="0C4E54"/>
                <w:sz w:val="21"/>
                <w:szCs w:val="21"/>
              </w:rPr>
              <w:t xml:space="preserve">Trois messages clés</w:t>
            </w:r>
          </w:p>
          <w:p>
            <w:pPr>
              <w:spacing w:after="60" w:line="264"/>
              <w:jc w:val="both"/>
            </w:pPr>
            <w:r>
              <w:rPr>
                <w:rFonts w:ascii="Calibri" w:cs="Calibri" w:eastAsia="Calibri" w:hAnsi="Calibri"/>
                <w:b/>
                <w:bCs/>
                <w:color w:val="1B2A2C"/>
                <w:sz w:val="20"/>
                <w:szCs w:val="20"/>
              </w:rPr>
              <w:t xml:space="preserve">Un cadre rénové et plus accessible</w:t>
            </w:r>
            <w:r>
              <w:rPr>
                <w:rFonts w:ascii="Calibri" w:cs="Calibri" w:eastAsia="Calibri" w:hAnsi="Calibri"/>
                <w:color w:val="1B2A2C"/>
                <w:sz w:val="20"/>
                <w:szCs w:val="20"/>
              </w:rPr>
              <w:t xml:space="preserve"> depuis le décret-loi n° 2025-3 du 2 octobre 2025.</w:t>
            </w:r>
          </w:p>
          <w:p>
            <w:pPr>
              <w:spacing w:after="60" w:line="264"/>
              <w:jc w:val="both"/>
            </w:pPr>
            <w:r>
              <w:rPr>
                <w:rFonts w:ascii="Calibri" w:cs="Calibri" w:eastAsia="Calibri" w:hAnsi="Calibri"/>
                <w:b/>
                <w:bCs/>
                <w:color w:val="1B2A2C"/>
                <w:sz w:val="20"/>
                <w:szCs w:val="20"/>
              </w:rPr>
              <w:t xml:space="preserve">Un avantage fiscal majeur</w:t>
            </w:r>
            <w:r>
              <w:rPr>
                <w:rFonts w:ascii="Calibri" w:cs="Calibri" w:eastAsia="Calibri" w:hAnsi="Calibri"/>
                <w:color w:val="1B2A2C"/>
                <w:sz w:val="20"/>
                <w:szCs w:val="20"/>
              </w:rPr>
              <w:t xml:space="preserve"> : exonération large et suspension de TVA pendant 10 ans, sous condition déclarative.</w:t>
            </w:r>
          </w:p>
          <w:p>
            <w:pPr>
              <w:spacing w:after="0" w:line="264"/>
              <w:jc w:val="both"/>
            </w:pPr>
            <w:r>
              <w:rPr>
                <w:rFonts w:ascii="Calibri" w:cs="Calibri" w:eastAsia="Calibri" w:hAnsi="Calibri"/>
                <w:b/>
                <w:bCs/>
                <w:color w:val="1B2A2C"/>
                <w:sz w:val="20"/>
                <w:szCs w:val="20"/>
              </w:rPr>
              <w:t xml:space="preserve">Une réussite qui se construit dans la durée</w:t>
            </w:r>
            <w:r>
              <w:rPr>
                <w:rFonts w:ascii="Calibri" w:cs="Calibri" w:eastAsia="Calibri" w:hAnsi="Calibri"/>
                <w:color w:val="1B2A2C"/>
                <w:sz w:val="20"/>
                <w:szCs w:val="20"/>
              </w:rPr>
              <w:t xml:space="preserve"> : faisabilité, financement, gouvernance et accompagnement professionnel.</w:t>
            </w:r>
          </w:p>
        </w:tc>
      </w:tr>
    </w:tbl>
    <w:p>
      <w:pPr>
        <w:pStyle w:val="Heading1"/>
        <w:pageBreakBefore/>
        <w:pBdr>
          <w:bottom w:val="single" w:color="01696F" w:sz="12" w:space="6"/>
        </w:pBdr>
        <w:spacing w:after="60" w:before="120"/>
      </w:pPr>
      <w:r>
        <w:rPr>
          <w:rFonts w:ascii="Calibri" w:cs="Calibri" w:eastAsia="Calibri" w:hAnsi="Calibri"/>
          <w:b/>
          <w:bCs/>
          <w:color w:val="0C4E54"/>
          <w:sz w:val="32"/>
          <w:szCs w:val="32"/>
        </w:rPr>
        <w:t xml:space="preserve">Sources et références</w:t>
      </w:r>
    </w:p>
    <w:p>
      <w:pPr>
        <w:spacing w:after="140" w:before="0" w:line="276"/>
        <w:jc w:val="both"/>
      </w:pPr>
      <w:r>
        <w:rPr>
          <w:rFonts w:ascii="Calibri" w:cs="Calibri" w:eastAsia="Calibri" w:hAnsi="Calibri"/>
          <w:color w:val="5C6A6B"/>
          <w:sz w:val="21"/>
          <w:szCs w:val="21"/>
        </w:rPr>
        <w:t xml:space="preserve">Ce livre blanc s’appuie sur les textes officiels et les sources documentaires suivants. Les références numérotées dans le corps du texte renvoient aux notes de bas de page correspondantes.</w:t>
      </w:r>
    </w:p>
    <w:p>
      <w:pPr>
        <w:spacing w:after="70" w:line="250"/>
      </w:pPr>
      <w:r>
        <w:rPr>
          <w:rFonts w:ascii="Calibri" w:cs="Calibri" w:eastAsia="Calibri" w:hAnsi="Calibri"/>
          <w:color w:val="1B2A2C"/>
          <w:sz w:val="18"/>
          <w:szCs w:val="18"/>
        </w:rPr>
        <w:t xml:space="preserve">1. Décret-loi n° 2022-15 du 20 mars 2022 relatif aux sociétés communautaires (JORT) — </w:t>
      </w:r>
      <w:hyperlink w:history="1" r:id="rId5mh_vwmqbkrmxndponyyi">
        <w:r>
          <w:rPr>
            <w:rStyle w:val="Hyperlink"/>
            <w:sz w:val="18"/>
            <w:szCs w:val="18"/>
          </w:rPr>
          <w:t xml:space="preserve">https://faolex.fao.org/docs/pdf/tun226392.pdf</w:t>
        </w:r>
      </w:hyperlink>
    </w:p>
    <w:p>
      <w:pPr>
        <w:spacing w:after="70" w:line="250"/>
      </w:pPr>
      <w:r>
        <w:rPr>
          <w:rFonts w:ascii="Calibri" w:cs="Calibri" w:eastAsia="Calibri" w:hAnsi="Calibri"/>
          <w:color w:val="1B2A2C"/>
          <w:sz w:val="18"/>
          <w:szCs w:val="18"/>
        </w:rPr>
        <w:t xml:space="preserve">2. Décret-loi n° 2025-3 du 2 octobre 2025 — synthèse Agence TAP — </w:t>
      </w:r>
      <w:hyperlink w:history="1" r:id="rIdsyb_kle2lqcqq4nixko2v">
        <w:r>
          <w:rPr>
            <w:rStyle w:val="Hyperlink"/>
            <w:sz w:val="18"/>
            <w:szCs w:val="18"/>
          </w:rPr>
          <w:t xml:space="preserve">https://www.tap.info.tn/fr/Portail-%C3%A0-la-Une-FR-top/19294504-nouveaux-avantages</w:t>
        </w:r>
      </w:hyperlink>
    </w:p>
    <w:p>
      <w:pPr>
        <w:spacing w:after="70" w:line="250"/>
      </w:pPr>
      <w:r>
        <w:rPr>
          <w:rFonts w:ascii="Calibri" w:cs="Calibri" w:eastAsia="Calibri" w:hAnsi="Calibri"/>
          <w:color w:val="1B2A2C"/>
          <w:sz w:val="18"/>
          <w:szCs w:val="18"/>
        </w:rPr>
        <w:t xml:space="preserve">3. Décret présidentiel n° 2022-498 du 19 mai 2022 (statuts-types) — </w:t>
      </w:r>
      <w:hyperlink w:history="1" r:id="rId3cldbbcvc7op43dpxx-yb">
        <w:r>
          <w:rPr>
            <w:rStyle w:val="Hyperlink"/>
            <w:sz w:val="18"/>
            <w:szCs w:val="18"/>
          </w:rPr>
          <w:t xml:space="preserve">https://www.diwan.tn/fr/document/card/0f127de9-df10-4afe-81ea-3af92d6bdaec</w:t>
        </w:r>
      </w:hyperlink>
    </w:p>
    <w:p>
      <w:pPr>
        <w:spacing w:after="70" w:line="250"/>
      </w:pPr>
      <w:r>
        <w:rPr>
          <w:rFonts w:ascii="Calibri" w:cs="Calibri" w:eastAsia="Calibri" w:hAnsi="Calibri"/>
          <w:color w:val="1B2A2C"/>
          <w:sz w:val="18"/>
          <w:szCs w:val="18"/>
        </w:rPr>
        <w:t xml:space="preserve">4. La Presse de Tunisie — fonctionnement et répartition des bénéfices (mars 2026) — </w:t>
      </w:r>
      <w:hyperlink w:history="1" r:id="rIdcatwyqu5pfocfopqi6tw5">
        <w:r>
          <w:rPr>
            <w:rStyle w:val="Hyperlink"/>
            <w:sz w:val="18"/>
            <w:szCs w:val="18"/>
          </w:rPr>
          <w:t xml:space="preserve">https://www.lapresse.tn/2026/03/09/tunisie-comment-fonctionnent-les-societes-communautaires-et-la-repartition-de-leurs-benefices/</w:t>
        </w:r>
      </w:hyperlink>
    </w:p>
    <w:p>
      <w:pPr>
        <w:spacing w:after="70" w:line="250"/>
      </w:pPr>
      <w:r>
        <w:rPr>
          <w:rFonts w:ascii="Calibri" w:cs="Calibri" w:eastAsia="Calibri" w:hAnsi="Calibri"/>
          <w:color w:val="1B2A2C"/>
          <w:sz w:val="18"/>
          <w:szCs w:val="18"/>
        </w:rPr>
        <w:t xml:space="preserve">5. Managers.tn — étapes de création (mars 2025) — </w:t>
      </w:r>
      <w:hyperlink w:history="1" r:id="rId5aog1na4ta-1v4of3kztn">
        <w:r>
          <w:rPr>
            <w:rStyle w:val="Hyperlink"/>
            <w:sz w:val="18"/>
            <w:szCs w:val="18"/>
          </w:rPr>
          <w:t xml:space="preserve">https://managers.tn/2025/03/10/voici-les-etapes-de-creation-dune-entreprise-communautaire-en-tunisie/</w:t>
        </w:r>
      </w:hyperlink>
    </w:p>
    <w:p>
      <w:pPr>
        <w:spacing w:after="70" w:line="250"/>
      </w:pPr>
      <w:r>
        <w:rPr>
          <w:rFonts w:ascii="Calibri" w:cs="Calibri" w:eastAsia="Calibri" w:hAnsi="Calibri"/>
          <w:color w:val="1B2A2C"/>
          <w:sz w:val="18"/>
          <w:szCs w:val="18"/>
        </w:rPr>
        <w:t xml:space="preserve">6. Managers.tn — avantages fiscaux 2025 — </w:t>
      </w:r>
      <w:hyperlink w:history="1" r:id="rId2ot6mpbc-u8cvegnp3mnd">
        <w:r>
          <w:rPr>
            <w:rStyle w:val="Hyperlink"/>
            <w:sz w:val="18"/>
            <w:szCs w:val="18"/>
          </w:rPr>
          <w:t xml:space="preserve">https://managers.tn/2025/01/06/les-nouveaux-avantages-des-societes-communautaires-pour-lannee-2025/</w:t>
        </w:r>
      </w:hyperlink>
    </w:p>
    <w:p>
      <w:pPr>
        <w:spacing w:after="70" w:line="250"/>
      </w:pPr>
      <w:r>
        <w:rPr>
          <w:rFonts w:ascii="Calibri" w:cs="Calibri" w:eastAsia="Calibri" w:hAnsi="Calibri"/>
          <w:color w:val="1B2A2C"/>
          <w:sz w:val="18"/>
          <w:szCs w:val="18"/>
        </w:rPr>
        <w:t xml:space="preserve">7. Loi de finances 2025, article 56 (suspension TVA) — Jurisite Tunisie — </w:t>
      </w:r>
      <w:hyperlink w:history="1" r:id="rIdiiw3aixvr_l25q_dm8k_5">
        <w:r>
          <w:rPr>
            <w:rStyle w:val="Hyperlink"/>
            <w:sz w:val="18"/>
            <w:szCs w:val="18"/>
          </w:rPr>
          <w:t xml:space="preserve">https://www.jurisitetunisie.com/tunisie/codes/lf2025/loifinances2025-56_fr.html</w:t>
        </w:r>
      </w:hyperlink>
    </w:p>
    <w:p>
      <w:pPr>
        <w:spacing w:after="70" w:line="250"/>
      </w:pPr>
      <w:r>
        <w:rPr>
          <w:rFonts w:ascii="Calibri" w:cs="Calibri" w:eastAsia="Calibri" w:hAnsi="Calibri"/>
          <w:color w:val="1B2A2C"/>
          <w:sz w:val="18"/>
          <w:szCs w:val="18"/>
        </w:rPr>
        <w:t xml:space="preserve">8. Note commune n° 1/2025 (DGI) — </w:t>
      </w:r>
      <w:hyperlink w:history="1" r:id="rIdv7xpbhmu-g6x4ksnmpkex">
        <w:r>
          <w:rPr>
            <w:rStyle w:val="Hyperlink"/>
            <w:sz w:val="18"/>
            <w:szCs w:val="18"/>
          </w:rPr>
          <w:t xml:space="preserve">https://jibaya.tn/docs/note-commune-n01-2025/</w:t>
        </w:r>
      </w:hyperlink>
    </w:p>
    <w:p>
      <w:pPr>
        <w:spacing w:after="70" w:line="250"/>
      </w:pPr>
      <w:r>
        <w:rPr>
          <w:rFonts w:ascii="Calibri" w:cs="Calibri" w:eastAsia="Calibri" w:hAnsi="Calibri"/>
          <w:color w:val="1B2A2C"/>
          <w:sz w:val="18"/>
          <w:szCs w:val="18"/>
        </w:rPr>
        <w:t xml:space="preserve">9. BIAT — partenaire des sociétés communautaires — </w:t>
      </w:r>
      <w:hyperlink w:history="1" r:id="rIdgoadxd48vw9zhiclgi6gm">
        <w:r>
          <w:rPr>
            <w:rStyle w:val="Hyperlink"/>
            <w:sz w:val="18"/>
            <w:szCs w:val="18"/>
          </w:rPr>
          <w:t xml:space="preserve">http://www.biat.com.tn/biat-la-une/press-media/la-biat-un-partenaire-de-confiance-pour-les-societes-communautaires</w:t>
        </w:r>
      </w:hyperlink>
    </w:p>
    <w:p>
      <w:pPr>
        <w:spacing w:after="70" w:line="250"/>
      </w:pPr>
      <w:r>
        <w:rPr>
          <w:rFonts w:ascii="Calibri" w:cs="Calibri" w:eastAsia="Calibri" w:hAnsi="Calibri"/>
          <w:color w:val="1B2A2C"/>
          <w:sz w:val="18"/>
          <w:szCs w:val="18"/>
        </w:rPr>
        <w:t xml:space="preserve">10. CCI du Centre — lignes de financement (janvier 2025) — </w:t>
      </w:r>
      <w:hyperlink w:history="1" r:id="rIdz9_yssbtq3qebwm_md8jm">
        <w:r>
          <w:rPr>
            <w:rStyle w:val="Hyperlink"/>
            <w:sz w:val="18"/>
            <w:szCs w:val="18"/>
          </w:rPr>
          <w:t xml:space="preserve">https://www.ccicentre.org.tn/flashinfo2025/flashinfojanvier2025.html</w:t>
        </w:r>
      </w:hyperlink>
    </w:p>
    <w:p>
      <w:pPr>
        <w:spacing w:after="70" w:line="250"/>
      </w:pPr>
      <w:r>
        <w:rPr>
          <w:rFonts w:ascii="Calibri" w:cs="Calibri" w:eastAsia="Calibri" w:hAnsi="Calibri"/>
          <w:color w:val="1B2A2C"/>
          <w:sz w:val="18"/>
          <w:szCs w:val="18"/>
        </w:rPr>
        <w:t xml:space="preserve">11. La Presse — 160 sociétés créées, secteur agricole en tête (mars 2025) — </w:t>
      </w:r>
      <w:hyperlink w:history="1" r:id="rIdxuu4ggyb80txdhbxgt0xu">
        <w:r>
          <w:rPr>
            <w:rStyle w:val="Hyperlink"/>
            <w:sz w:val="18"/>
            <w:szCs w:val="18"/>
          </w:rPr>
          <w:t xml:space="preserve">https://www.lapresse.tn/2025/03/12/tunisie-160-societes-communautaires-creees-le-secteur-agricole-en-tete/</w:t>
        </w:r>
      </w:hyperlink>
    </w:p>
    <w:p>
      <w:pPr>
        <w:spacing w:after="70" w:line="250"/>
      </w:pPr>
      <w:r>
        <w:rPr>
          <w:rFonts w:ascii="Calibri" w:cs="Calibri" w:eastAsia="Calibri" w:hAnsi="Calibri"/>
          <w:color w:val="1B2A2C"/>
          <w:sz w:val="18"/>
          <w:szCs w:val="18"/>
        </w:rPr>
        <w:t xml:space="preserve">12. Ahli. — Observatoire des sociétés communautaires — </w:t>
      </w:r>
      <w:hyperlink w:history="1" r:id="rIdkyffhxrhv4kfkpp0utonr">
        <w:r>
          <w:rPr>
            <w:rStyle w:val="Hyperlink"/>
            <w:sz w:val="18"/>
            <w:szCs w:val="18"/>
          </w:rPr>
          <w:t xml:space="preserve">https://ahli.tn</w:t>
        </w:r>
      </w:hyperlink>
    </w:p>
    <w:p>
      <w:pPr>
        <w:spacing w:after="70" w:line="250"/>
      </w:pPr>
      <w:r>
        <w:rPr>
          <w:rFonts w:ascii="Calibri" w:cs="Calibri" w:eastAsia="Calibri" w:hAnsi="Calibri"/>
          <w:color w:val="1B2A2C"/>
          <w:sz w:val="18"/>
          <w:szCs w:val="18"/>
        </w:rPr>
        <w:t xml:space="preserve">13. Nawaat — analyse du dispositif (janvier 2025) — </w:t>
      </w:r>
      <w:hyperlink w:history="1" r:id="rIdtygsye7yymujqlql5psaf">
        <w:r>
          <w:rPr>
            <w:rStyle w:val="Hyperlink"/>
            <w:sz w:val="18"/>
            <w:szCs w:val="18"/>
          </w:rPr>
          <w:t xml:space="preserve">https://nawaat.org/2025/01/24/societes-communautaires-en-tunisie-apres-les-cooperatives-la-nouvelle-panacee/</w:t>
        </w:r>
      </w:hyperlink>
    </w:p>
    <w:p>
      <w:pPr>
        <w:spacing w:after="70" w:line="250"/>
      </w:pPr>
      <w:r>
        <w:rPr>
          <w:rFonts w:ascii="Calibri" w:cs="Calibri" w:eastAsia="Calibri" w:hAnsi="Calibri"/>
          <w:color w:val="1B2A2C"/>
          <w:sz w:val="18"/>
          <w:szCs w:val="18"/>
        </w:rPr>
        <w:t xml:space="preserve">14. Inkyfada — enquête de terrain (décembre 2024) — </w:t>
      </w:r>
      <w:hyperlink w:history="1" r:id="rIdcq_tyxx1louy40l_6x3-i">
        <w:r>
          <w:rPr>
            <w:rStyle w:val="Hyperlink"/>
            <w:sz w:val="18"/>
            <w:szCs w:val="18"/>
          </w:rPr>
          <w:t xml:space="preserve">https://inkyfada.com/fr/2024/12/04/entreprises-communautaires-tunisie/</w:t>
        </w:r>
      </w:hyperlink>
    </w:p>
    <w:p>
      <w:pPr>
        <w:spacing w:after="70" w:line="250"/>
      </w:pPr>
      <w:r>
        <w:rPr>
          <w:rFonts w:ascii="Calibri" w:cs="Calibri" w:eastAsia="Calibri" w:hAnsi="Calibri"/>
          <w:color w:val="1B2A2C"/>
          <w:sz w:val="18"/>
          <w:szCs w:val="18"/>
        </w:rPr>
        <w:t xml:space="preserve">15. Swiver — présentation pédagogique — </w:t>
      </w:r>
      <w:hyperlink w:history="1" r:id="rIdjhfhsdozdvowjirmgnt1c">
        <w:r>
          <w:rPr>
            <w:rStyle w:val="Hyperlink"/>
            <w:sz w:val="18"/>
            <w:szCs w:val="18"/>
          </w:rPr>
          <w:t xml:space="preserve">https://swiver.io/blog/societe-communautaire/</w:t>
        </w:r>
      </w:hyperlink>
    </w:p>
    <w:p>
      <w:pPr>
        <w:spacing w:after="70" w:line="250"/>
      </w:pPr>
      <w:r>
        <w:rPr>
          <w:rFonts w:ascii="Calibri" w:cs="Calibri" w:eastAsia="Calibri" w:hAnsi="Calibri"/>
          <w:color w:val="1B2A2C"/>
          <w:sz w:val="18"/>
          <w:szCs w:val="18"/>
        </w:rPr>
        <w:t xml:space="preserve">16. L’Économiste Maghrébin — défis du dispositif — </w:t>
      </w:r>
      <w:hyperlink w:history="1" r:id="rIdhlszfgcv6ji7yufcwnc7v">
        <w:r>
          <w:rPr>
            <w:rStyle w:val="Hyperlink"/>
            <w:sz w:val="18"/>
            <w:szCs w:val="18"/>
          </w:rPr>
          <w:t xml:space="preserve">https://www.leconomistemaghrebin.com/2024/10/31/lone-met-lumiere-defis-opportunites-societes-communautaires/</w:t>
        </w:r>
      </w:hyperlink>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4DCDC" w:sz="4" w:space="4"/>
      </w:pBdr>
      <w:jc w:val="center"/>
    </w:pPr>
    <w:r>
      <w:rPr>
        <w:rFonts w:ascii="Calibri" w:cs="Calibri" w:eastAsia="Calibri" w:hAnsi="Calibri"/>
        <w:color w:val="9AA7A7"/>
        <w:sz w:val="16"/>
        <w:szCs w:val="16"/>
      </w:rPr>
      <w:t xml:space="preserve">Édition 2026  ·  Document d’information générale  ·  Page </w:t>
    </w:r>
    <w:r>
      <w:rPr>
        <w:rFonts w:ascii="Calibri" w:cs="Calibri" w:eastAsia="Calibri" w:hAnsi="Calibri"/>
        <w:color w:val="9AA7A7"/>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r>
        <w:rPr>
          <w:rStyle w:val="FootnoteReference"/>
        </w:rPr>
        <w:footnoteRef/>
      </w:r>
      <w:r>
        <w:rPr>
          <w:rFonts w:ascii="Calibri" w:cs="Calibri" w:eastAsia="Calibri" w:hAnsi="Calibri"/>
          <w:color w:val="5C6A6B"/>
          <w:sz w:val="17"/>
          <w:szCs w:val="17"/>
        </w:rPr>
        <w:t xml:space="preserve">Décret-loi n° 2022-15 du 20 mars 2022 relatif aux sociétés communautaires (texte intégral, JORT). </w:t>
      </w:r>
      <w:hyperlink w:history="1" r:id="rIdrn_zoufu2fzj6owfzzqdy">
        <w:r>
          <w:rPr>
            <w:rStyle w:val="Hyperlink"/>
            <w:sz w:val="17"/>
            <w:szCs w:val="17"/>
          </w:rPr>
          <w:t xml:space="preserve">https://faolex.fao.org/docs/pdf/tun226392.pdf</w:t>
        </w:r>
      </w:hyperlink>
    </w:p>
  </w:footnote>
  <w:footnote w:id="2">
    <w:p>
      <w:r>
        <w:rPr>
          <w:rStyle w:val="FootnoteReference"/>
        </w:rPr>
        <w:footnoteRef/>
      </w:r>
      <w:r>
        <w:rPr>
          <w:rFonts w:ascii="Calibri" w:cs="Calibri" w:eastAsia="Calibri" w:hAnsi="Calibri"/>
          <w:color w:val="5C6A6B"/>
          <w:sz w:val="17"/>
          <w:szCs w:val="17"/>
        </w:rPr>
        <w:t xml:space="preserve">La Presse de Tunisie, « Comment fonctionnent les sociétés communautaires et la répartition de leurs bénéfices », 9 mars 2026. </w:t>
      </w:r>
      <w:hyperlink w:history="1" r:id="rId_ogmdbm0tx99sy8uajiq5">
        <w:r>
          <w:rPr>
            <w:rStyle w:val="Hyperlink"/>
            <w:sz w:val="17"/>
            <w:szCs w:val="17"/>
          </w:rPr>
          <w:t xml:space="preserve">https://www.lapresse.tn/2026/03/09/tunisie-comment-fonctionnent-les-societes-communautaires-et-la-repartition-de-leurs-benefices/</w:t>
        </w:r>
      </w:hyperlink>
    </w:p>
  </w:footnote>
  <w:footnote w:id="3">
    <w:p>
      <w:r>
        <w:rPr>
          <w:rStyle w:val="FootnoteReference"/>
        </w:rPr>
        <w:footnoteRef/>
      </w:r>
      <w:r>
        <w:rPr>
          <w:rFonts w:ascii="Calibri" w:cs="Calibri" w:eastAsia="Calibri" w:hAnsi="Calibri"/>
          <w:color w:val="5C6A6B"/>
          <w:sz w:val="17"/>
          <w:szCs w:val="17"/>
        </w:rPr>
        <w:t xml:space="preserve">Décret-loi n° 2022-15 du 20 mars 2022 relatif aux sociétés communautaires (texte intégral, JORT). </w:t>
      </w:r>
      <w:hyperlink w:history="1" r:id="rIdfwox3lhd7oo48-s7hom0q">
        <w:r>
          <w:rPr>
            <w:rStyle w:val="Hyperlink"/>
            <w:sz w:val="17"/>
            <w:szCs w:val="17"/>
          </w:rPr>
          <w:t xml:space="preserve">https://faolex.fao.org/docs/pdf/tun226392.pdf</w:t>
        </w:r>
      </w:hyperlink>
    </w:p>
  </w:footnote>
  <w:footnote w:id="4">
    <w:p>
      <w:r>
        <w:rPr>
          <w:rStyle w:val="FootnoteReference"/>
        </w:rPr>
        <w:footnoteRef/>
      </w:r>
      <w:r>
        <w:rPr>
          <w:rFonts w:ascii="Calibri" w:cs="Calibri" w:eastAsia="Calibri" w:hAnsi="Calibri"/>
          <w:color w:val="5C6A6B"/>
          <w:sz w:val="17"/>
          <w:szCs w:val="17"/>
        </w:rPr>
        <w:t xml:space="preserve">Décret présidentiel n° 2022-498 du 19 mai 2022 portant approbation des statuts-types des sociétés communautaires locales et régionales. </w:t>
      </w:r>
      <w:hyperlink w:history="1" r:id="rIddt98olnctpivvcor1x_um">
        <w:r>
          <w:rPr>
            <w:rStyle w:val="Hyperlink"/>
            <w:sz w:val="17"/>
            <w:szCs w:val="17"/>
          </w:rPr>
          <w:t xml:space="preserve">https://www.diwan.tn/fr/document/card/0f127de9-df10-4afe-81ea-3af92d6bdaec</w:t>
        </w:r>
      </w:hyperlink>
    </w:p>
  </w:footnote>
  <w:footnote w:id="5">
    <w:p>
      <w:r>
        <w:rPr>
          <w:rStyle w:val="FootnoteReference"/>
        </w:rPr>
        <w:footnoteRef/>
      </w:r>
      <w:r>
        <w:rPr>
          <w:rFonts w:ascii="Calibri" w:cs="Calibri" w:eastAsia="Calibri" w:hAnsi="Calibri"/>
          <w:color w:val="5C6A6B"/>
          <w:sz w:val="17"/>
          <w:szCs w:val="17"/>
        </w:rPr>
        <w:t xml:space="preserve">Agence TAP, « Nouveaux avantages pour faciliter la création des sociétés communautaires » (décret-loi n° 2025-3 du 2 octobre 2025), 4 octobre 2025. </w:t>
      </w:r>
      <w:hyperlink w:history="1" r:id="rIdzidetxo33exzuem_dxui8">
        <w:r>
          <w:rPr>
            <w:rStyle w:val="Hyperlink"/>
            <w:sz w:val="17"/>
            <w:szCs w:val="17"/>
          </w:rPr>
          <w:t xml:space="preserve">https://www.tap.info.tn/fr/Portail-%C3%A0-la-Une-FR-top/19294504-nouveaux-avantages</w:t>
        </w:r>
      </w:hyperlink>
    </w:p>
  </w:footnote>
  <w:footnote w:id="6">
    <w:p>
      <w:r>
        <w:rPr>
          <w:rStyle w:val="FootnoteReference"/>
        </w:rPr>
        <w:footnoteRef/>
      </w:r>
      <w:r>
        <w:rPr>
          <w:rFonts w:ascii="Calibri" w:cs="Calibri" w:eastAsia="Calibri" w:hAnsi="Calibri"/>
          <w:color w:val="5C6A6B"/>
          <w:sz w:val="17"/>
          <w:szCs w:val="17"/>
        </w:rPr>
        <w:t xml:space="preserve">Swiver, « Qu’est-ce qu’une société communautaire (الشركة الأهلية) ? », 27 décembre 2024. </w:t>
      </w:r>
      <w:hyperlink w:history="1" r:id="rIdl7umqduovk8jyofka5hlm">
        <w:r>
          <w:rPr>
            <w:rStyle w:val="Hyperlink"/>
            <w:sz w:val="17"/>
            <w:szCs w:val="17"/>
          </w:rPr>
          <w:t xml:space="preserve">https://swiver.io/blog/societe-communautaire/</w:t>
        </w:r>
      </w:hyperlink>
    </w:p>
  </w:footnote>
  <w:footnote w:id="7">
    <w:p>
      <w:r>
        <w:rPr>
          <w:rStyle w:val="FootnoteReference"/>
        </w:rPr>
        <w:footnoteRef/>
      </w:r>
      <w:r>
        <w:rPr>
          <w:rFonts w:ascii="Calibri" w:cs="Calibri" w:eastAsia="Calibri" w:hAnsi="Calibri"/>
          <w:color w:val="5C6A6B"/>
          <w:sz w:val="17"/>
          <w:szCs w:val="17"/>
        </w:rPr>
        <w:t xml:space="preserve">Décret-loi n° 2022-15 du 20 mars 2022 relatif aux sociétés communautaires (texte intégral, JORT). </w:t>
      </w:r>
      <w:hyperlink w:history="1" r:id="rIdbso1fca_93c4bd32byiff">
        <w:r>
          <w:rPr>
            <w:rStyle w:val="Hyperlink"/>
            <w:sz w:val="17"/>
            <w:szCs w:val="17"/>
          </w:rPr>
          <w:t xml:space="preserve">https://faolex.fao.org/docs/pdf/tun226392.pdf</w:t>
        </w:r>
      </w:hyperlink>
    </w:p>
  </w:footnote>
  <w:footnote w:id="8">
    <w:p>
      <w:r>
        <w:rPr>
          <w:rStyle w:val="FootnoteReference"/>
        </w:rPr>
        <w:footnoteRef/>
      </w:r>
      <w:r>
        <w:rPr>
          <w:rFonts w:ascii="Calibri" w:cs="Calibri" w:eastAsia="Calibri" w:hAnsi="Calibri"/>
          <w:color w:val="5C6A6B"/>
          <w:sz w:val="17"/>
          <w:szCs w:val="17"/>
        </w:rPr>
        <w:t xml:space="preserve">Décret-loi n° 2022-15 du 20 mars 2022 relatif aux sociétés communautaires (texte intégral, JORT). </w:t>
      </w:r>
      <w:hyperlink w:history="1" r:id="rIdj1kttafvv2ynxgl7k60kb">
        <w:r>
          <w:rPr>
            <w:rStyle w:val="Hyperlink"/>
            <w:sz w:val="17"/>
            <w:szCs w:val="17"/>
          </w:rPr>
          <w:t xml:space="preserve">https://faolex.fao.org/docs/pdf/tun226392.pdf</w:t>
        </w:r>
      </w:hyperlink>
    </w:p>
  </w:footnote>
  <w:footnote w:id="9">
    <w:p>
      <w:r>
        <w:rPr>
          <w:rStyle w:val="FootnoteReference"/>
        </w:rPr>
        <w:footnoteRef/>
      </w:r>
      <w:r>
        <w:rPr>
          <w:rFonts w:ascii="Calibri" w:cs="Calibri" w:eastAsia="Calibri" w:hAnsi="Calibri"/>
          <w:color w:val="5C6A6B"/>
          <w:sz w:val="17"/>
          <w:szCs w:val="17"/>
        </w:rPr>
        <w:t xml:space="preserve">Décret-loi n° 2022-15 du 20 mars 2022 relatif aux sociétés communautaires (texte intégral, JORT). </w:t>
      </w:r>
      <w:hyperlink w:history="1" r:id="rIdc_ei6ktyupmptrk1_3gf4">
        <w:r>
          <w:rPr>
            <w:rStyle w:val="Hyperlink"/>
            <w:sz w:val="17"/>
            <w:szCs w:val="17"/>
          </w:rPr>
          <w:t xml:space="preserve">https://faolex.fao.org/docs/pdf/tun226392.pdf</w:t>
        </w:r>
      </w:hyperlink>
    </w:p>
  </w:footnote>
  <w:footnote w:id="10">
    <w:p>
      <w:r>
        <w:rPr>
          <w:rStyle w:val="FootnoteReference"/>
        </w:rPr>
        <w:footnoteRef/>
      </w:r>
      <w:r>
        <w:rPr>
          <w:rFonts w:ascii="Calibri" w:cs="Calibri" w:eastAsia="Calibri" w:hAnsi="Calibri"/>
          <w:color w:val="5C6A6B"/>
          <w:sz w:val="17"/>
          <w:szCs w:val="17"/>
        </w:rPr>
        <w:t xml:space="preserve">Décret-loi n° 2022-15 du 20 mars 2022 relatif aux sociétés communautaires (texte intégral, JORT). </w:t>
      </w:r>
      <w:hyperlink w:history="1" r:id="rId8kp2byygne8gx5izsxz53">
        <w:r>
          <w:rPr>
            <w:rStyle w:val="Hyperlink"/>
            <w:sz w:val="17"/>
            <w:szCs w:val="17"/>
          </w:rPr>
          <w:t xml:space="preserve">https://faolex.fao.org/docs/pdf/tun226392.pdf</w:t>
        </w:r>
      </w:hyperlink>
    </w:p>
  </w:footnote>
  <w:footnote w:id="11">
    <w:p>
      <w:r>
        <w:rPr>
          <w:rStyle w:val="FootnoteReference"/>
        </w:rPr>
        <w:footnoteRef/>
      </w:r>
      <w:r>
        <w:rPr>
          <w:rFonts w:ascii="Calibri" w:cs="Calibri" w:eastAsia="Calibri" w:hAnsi="Calibri"/>
          <w:color w:val="5C6A6B"/>
          <w:sz w:val="17"/>
          <w:szCs w:val="17"/>
        </w:rPr>
        <w:t xml:space="preserve">Décret présidentiel n° 2022-498 du 19 mai 2022 portant approbation des statuts-types des sociétés communautaires locales et régionales. </w:t>
      </w:r>
      <w:hyperlink w:history="1" r:id="rIdeph8qphytr5ne0yi7ct9g">
        <w:r>
          <w:rPr>
            <w:rStyle w:val="Hyperlink"/>
            <w:sz w:val="17"/>
            <w:szCs w:val="17"/>
          </w:rPr>
          <w:t xml:space="preserve">https://www.diwan.tn/fr/document/card/0f127de9-df10-4afe-81ea-3af92d6bdaec</w:t>
        </w:r>
      </w:hyperlink>
    </w:p>
  </w:footnote>
  <w:footnote w:id="12">
    <w:p>
      <w:r>
        <w:rPr>
          <w:rStyle w:val="FootnoteReference"/>
        </w:rPr>
        <w:footnoteRef/>
      </w:r>
      <w:r>
        <w:rPr>
          <w:rFonts w:ascii="Calibri" w:cs="Calibri" w:eastAsia="Calibri" w:hAnsi="Calibri"/>
          <w:color w:val="5C6A6B"/>
          <w:sz w:val="17"/>
          <w:szCs w:val="17"/>
        </w:rPr>
        <w:t xml:space="preserve">Loi de finances pour l’année 2025, article 56 (suspension de TVA — article 13 septies du code de la TVA), Jurisite Tunisie. </w:t>
      </w:r>
      <w:hyperlink w:history="1" r:id="rIdg0rdjmst_al3euw628kgd">
        <w:r>
          <w:rPr>
            <w:rStyle w:val="Hyperlink"/>
            <w:sz w:val="17"/>
            <w:szCs w:val="17"/>
          </w:rPr>
          <w:t xml:space="preserve">https://www.jurisitetunisie.com/tunisie/codes/lf2025/loifinances2025-56_fr.html</w:t>
        </w:r>
      </w:hyperlink>
    </w:p>
  </w:footnote>
  <w:footnote w:id="13">
    <w:p>
      <w:r>
        <w:rPr>
          <w:rStyle w:val="FootnoteReference"/>
        </w:rPr>
        <w:footnoteRef/>
      </w:r>
      <w:r>
        <w:rPr>
          <w:rFonts w:ascii="Calibri" w:cs="Calibri" w:eastAsia="Calibri" w:hAnsi="Calibri"/>
          <w:color w:val="5C6A6B"/>
          <w:sz w:val="17"/>
          <w:szCs w:val="17"/>
        </w:rPr>
        <w:t xml:space="preserve">Direction générale des impôts, Note commune n° 1/2025 — clarification du régime fiscal des sociétés communautaires. </w:t>
      </w:r>
      <w:hyperlink w:history="1" r:id="rId2f7brbjxkwapdgjokhljt">
        <w:r>
          <w:rPr>
            <w:rStyle w:val="Hyperlink"/>
            <w:sz w:val="17"/>
            <w:szCs w:val="17"/>
          </w:rPr>
          <w:t xml:space="preserve">https://jibaya.tn/docs/note-commune-n01-2025/</w:t>
        </w:r>
      </w:hyperlink>
    </w:p>
  </w:footnote>
  <w:footnote w:id="14">
    <w:p>
      <w:r>
        <w:rPr>
          <w:rStyle w:val="FootnoteReference"/>
        </w:rPr>
        <w:footnoteRef/>
      </w:r>
      <w:r>
        <w:rPr>
          <w:rFonts w:ascii="Calibri" w:cs="Calibri" w:eastAsia="Calibri" w:hAnsi="Calibri"/>
          <w:color w:val="5C6A6B"/>
          <w:sz w:val="17"/>
          <w:szCs w:val="17"/>
        </w:rPr>
        <w:t xml:space="preserve">Agence TAP, « Nouveaux avantages pour faciliter la création des sociétés communautaires » (décret-loi n° 2025-3 du 2 octobre 2025), 4 octobre 2025. </w:t>
      </w:r>
      <w:hyperlink w:history="1" r:id="rId2et8ca_kivxf0j7vmwfl_">
        <w:r>
          <w:rPr>
            <w:rStyle w:val="Hyperlink"/>
            <w:sz w:val="17"/>
            <w:szCs w:val="17"/>
          </w:rPr>
          <w:t xml:space="preserve">https://www.tap.info.tn/fr/Portail-%C3%A0-la-Une-FR-top/19294504-nouveaux-avantages</w:t>
        </w:r>
      </w:hyperlink>
    </w:p>
  </w:footnote>
  <w:footnote w:id="15">
    <w:p>
      <w:r>
        <w:rPr>
          <w:rStyle w:val="FootnoteReference"/>
        </w:rPr>
        <w:footnoteRef/>
      </w:r>
      <w:r>
        <w:rPr>
          <w:rFonts w:ascii="Calibri" w:cs="Calibri" w:eastAsia="Calibri" w:hAnsi="Calibri"/>
          <w:color w:val="5C6A6B"/>
          <w:sz w:val="17"/>
          <w:szCs w:val="17"/>
        </w:rPr>
        <w:t xml:space="preserve">Décret-loi n° 2022-15 du 20 mars 2022 relatif aux sociétés communautaires (texte intégral, JORT). </w:t>
      </w:r>
      <w:hyperlink w:history="1" r:id="rIdznnlwtawbl1xmhru4msj1">
        <w:r>
          <w:rPr>
            <w:rStyle w:val="Hyperlink"/>
            <w:sz w:val="17"/>
            <w:szCs w:val="17"/>
          </w:rPr>
          <w:t xml:space="preserve">https://faolex.fao.org/docs/pdf/tun226392.pdf</w:t>
        </w:r>
      </w:hyperlink>
    </w:p>
  </w:footnote>
  <w:footnote w:id="16">
    <w:p>
      <w:r>
        <w:rPr>
          <w:rStyle w:val="FootnoteReference"/>
        </w:rPr>
        <w:footnoteRef/>
      </w:r>
      <w:r>
        <w:rPr>
          <w:rFonts w:ascii="Calibri" w:cs="Calibri" w:eastAsia="Calibri" w:hAnsi="Calibri"/>
          <w:color w:val="5C6A6B"/>
          <w:sz w:val="17"/>
          <w:szCs w:val="17"/>
        </w:rPr>
        <w:t xml:space="preserve">Agence TAP, « Nouveaux avantages pour faciliter la création des sociétés communautaires » (décret-loi n° 2025-3 du 2 octobre 2025), 4 octobre 2025. </w:t>
      </w:r>
      <w:hyperlink w:history="1" r:id="rIdnqjtxdfh927ndv89acahz">
        <w:r>
          <w:rPr>
            <w:rStyle w:val="Hyperlink"/>
            <w:sz w:val="17"/>
            <w:szCs w:val="17"/>
          </w:rPr>
          <w:t xml:space="preserve">https://www.tap.info.tn/fr/Portail-%C3%A0-la-Une-FR-top/19294504-nouveaux-avantages</w:t>
        </w:r>
      </w:hyperlink>
    </w:p>
  </w:footnote>
  <w:footnote w:id="17">
    <w:p>
      <w:r>
        <w:rPr>
          <w:rStyle w:val="FootnoteReference"/>
        </w:rPr>
        <w:footnoteRef/>
      </w:r>
      <w:r>
        <w:rPr>
          <w:rFonts w:ascii="Calibri" w:cs="Calibri" w:eastAsia="Calibri" w:hAnsi="Calibri"/>
          <w:color w:val="5C6A6B"/>
          <w:sz w:val="17"/>
          <w:szCs w:val="17"/>
        </w:rPr>
        <w:t xml:space="preserve">La Presse de Tunisie, « 160 sociétés communautaires créées, le secteur agricole en tête », 12 mars 2025. </w:t>
      </w:r>
      <w:hyperlink w:history="1" r:id="rId4tktn7u74etl9v3njjagv">
        <w:r>
          <w:rPr>
            <w:rStyle w:val="Hyperlink"/>
            <w:sz w:val="17"/>
            <w:szCs w:val="17"/>
          </w:rPr>
          <w:t xml:space="preserve">https://www.lapresse.tn/2025/03/12/tunisie-160-societes-communautaires-creees-le-secteur-agricole-en-tete/</w:t>
        </w:r>
      </w:hyperlink>
    </w:p>
  </w:footnote>
  <w:footnote w:id="18">
    <w:p>
      <w:r>
        <w:rPr>
          <w:rStyle w:val="FootnoteReference"/>
        </w:rPr>
        <w:footnoteRef/>
      </w:r>
      <w:r>
        <w:rPr>
          <w:rFonts w:ascii="Calibri" w:cs="Calibri" w:eastAsia="Calibri" w:hAnsi="Calibri"/>
          <w:color w:val="5C6A6B"/>
          <w:sz w:val="17"/>
          <w:szCs w:val="17"/>
        </w:rPr>
        <w:t xml:space="preserve">La Presse de Tunisie, « 160 sociétés communautaires créées, le secteur agricole en tête », 12 mars 2025. </w:t>
      </w:r>
      <w:hyperlink w:history="1" r:id="rIdjcfafpltadlpdyfebxpyq">
        <w:r>
          <w:rPr>
            <w:rStyle w:val="Hyperlink"/>
            <w:sz w:val="17"/>
            <w:szCs w:val="17"/>
          </w:rPr>
          <w:t xml:space="preserve">https://www.lapresse.tn/2025/03/12/tunisie-160-societes-communautaires-creees-le-secteur-agricole-en-tete/</w:t>
        </w:r>
      </w:hyperlink>
    </w:p>
  </w:footnote>
  <w:footnote w:id="19">
    <w:p>
      <w:r>
        <w:rPr>
          <w:rStyle w:val="FootnoteReference"/>
        </w:rPr>
        <w:footnoteRef/>
      </w:r>
      <w:r>
        <w:rPr>
          <w:rFonts w:ascii="Calibri" w:cs="Calibri" w:eastAsia="Calibri" w:hAnsi="Calibri"/>
          <w:color w:val="5C6A6B"/>
          <w:sz w:val="17"/>
          <w:szCs w:val="17"/>
        </w:rPr>
        <w:t xml:space="preserve">Décret présidentiel n° 2022-498 du 19 mai 2022 portant approbation des statuts-types des sociétés communautaires locales et régionales. </w:t>
      </w:r>
      <w:hyperlink w:history="1" r:id="rIdvpccdh1awshyyag5qvnbh">
        <w:r>
          <w:rPr>
            <w:rStyle w:val="Hyperlink"/>
            <w:sz w:val="17"/>
            <w:szCs w:val="17"/>
          </w:rPr>
          <w:t xml:space="preserve">https://www.diwan.tn/fr/document/card/0f127de9-df10-4afe-81ea-3af92d6bdaec</w:t>
        </w:r>
      </w:hyperlink>
    </w:p>
  </w:footnote>
  <w:footnote w:id="20">
    <w:p>
      <w:r>
        <w:rPr>
          <w:rStyle w:val="FootnoteReference"/>
        </w:rPr>
        <w:footnoteRef/>
      </w:r>
      <w:r>
        <w:rPr>
          <w:rFonts w:ascii="Calibri" w:cs="Calibri" w:eastAsia="Calibri" w:hAnsi="Calibri"/>
          <w:color w:val="5C6A6B"/>
          <w:sz w:val="17"/>
          <w:szCs w:val="17"/>
        </w:rPr>
        <w:t xml:space="preserve">Décret-loi n° 2022-15 du 20 mars 2022 relatif aux sociétés communautaires (texte intégral, JORT). </w:t>
      </w:r>
      <w:hyperlink w:history="1" r:id="rIdcdx8z_hsmklvkxr3cah2-">
        <w:r>
          <w:rPr>
            <w:rStyle w:val="Hyperlink"/>
            <w:sz w:val="17"/>
            <w:szCs w:val="17"/>
          </w:rPr>
          <w:t xml:space="preserve">https://faolex.fao.org/docs/pdf/tun226392.pdf</w:t>
        </w:r>
      </w:hyperlink>
    </w:p>
  </w:footnote>
  <w:footnote w:id="21">
    <w:p>
      <w:r>
        <w:rPr>
          <w:rStyle w:val="FootnoteReference"/>
        </w:rPr>
        <w:footnoteRef/>
      </w:r>
      <w:r>
        <w:rPr>
          <w:rFonts w:ascii="Calibri" w:cs="Calibri" w:eastAsia="Calibri" w:hAnsi="Calibri"/>
          <w:color w:val="5C6A6B"/>
          <w:sz w:val="17"/>
          <w:szCs w:val="17"/>
        </w:rPr>
        <w:t xml:space="preserve">Agence TAP, « Nouveaux avantages pour faciliter la création des sociétés communautaires » (décret-loi n° 2025-3 du 2 octobre 2025), 4 octobre 2025. </w:t>
      </w:r>
      <w:hyperlink w:history="1" r:id="rIdmrao4nlublzcwhvnbcdm5">
        <w:r>
          <w:rPr>
            <w:rStyle w:val="Hyperlink"/>
            <w:sz w:val="17"/>
            <w:szCs w:val="17"/>
          </w:rPr>
          <w:t xml:space="preserve">https://www.tap.info.tn/fr/Portail-%C3%A0-la-Une-FR-top/19294504-nouveaux-avantages</w:t>
        </w:r>
      </w:hyperlink>
    </w:p>
  </w:footnote>
  <w:footnote w:id="22">
    <w:p>
      <w:r>
        <w:rPr>
          <w:rStyle w:val="FootnoteReference"/>
        </w:rPr>
        <w:footnoteRef/>
      </w:r>
      <w:r>
        <w:rPr>
          <w:rFonts w:ascii="Calibri" w:cs="Calibri" w:eastAsia="Calibri" w:hAnsi="Calibri"/>
          <w:color w:val="5C6A6B"/>
          <w:sz w:val="17"/>
          <w:szCs w:val="17"/>
        </w:rPr>
        <w:t xml:space="preserve">Décret-loi n° 2022-15 du 20 mars 2022 relatif aux sociétés communautaires (texte intégral, JORT). </w:t>
      </w:r>
      <w:hyperlink w:history="1" r:id="rIddja5etjq0vxz1oevbybs1">
        <w:r>
          <w:rPr>
            <w:rStyle w:val="Hyperlink"/>
            <w:sz w:val="17"/>
            <w:szCs w:val="17"/>
          </w:rPr>
          <w:t xml:space="preserve">https://faolex.fao.org/docs/pdf/tun226392.pdf</w:t>
        </w:r>
      </w:hyperlink>
    </w:p>
  </w:footnote>
  <w:footnote w:id="23">
    <w:p>
      <w:r>
        <w:rPr>
          <w:rStyle w:val="FootnoteReference"/>
        </w:rPr>
        <w:footnoteRef/>
      </w:r>
      <w:r>
        <w:rPr>
          <w:rFonts w:ascii="Calibri" w:cs="Calibri" w:eastAsia="Calibri" w:hAnsi="Calibri"/>
          <w:color w:val="5C6A6B"/>
          <w:sz w:val="17"/>
          <w:szCs w:val="17"/>
        </w:rPr>
        <w:t xml:space="preserve">Décret-loi n° 2022-15 du 20 mars 2022 relatif aux sociétés communautaires (texte intégral, JORT). </w:t>
      </w:r>
      <w:hyperlink w:history="1" r:id="rIdtyl7ewlp6e2llbqd9p_fd">
        <w:r>
          <w:rPr>
            <w:rStyle w:val="Hyperlink"/>
            <w:sz w:val="17"/>
            <w:szCs w:val="17"/>
          </w:rPr>
          <w:t xml:space="preserve">https://faolex.fao.org/docs/pdf/tun226392.pdf</w:t>
        </w:r>
      </w:hyperlink>
    </w:p>
  </w:footnote>
  <w:footnote w:id="24">
    <w:p>
      <w:r>
        <w:rPr>
          <w:rStyle w:val="FootnoteReference"/>
        </w:rPr>
        <w:footnoteRef/>
      </w:r>
      <w:r>
        <w:rPr>
          <w:rFonts w:ascii="Calibri" w:cs="Calibri" w:eastAsia="Calibri" w:hAnsi="Calibri"/>
          <w:color w:val="5C6A6B"/>
          <w:sz w:val="17"/>
          <w:szCs w:val="17"/>
        </w:rPr>
        <w:t xml:space="preserve">Agence TAP, « Nouveaux avantages pour faciliter la création des sociétés communautaires » (décret-loi n° 2025-3 du 2 octobre 2025), 4 octobre 2025. </w:t>
      </w:r>
      <w:hyperlink w:history="1" r:id="rIdztf3feysetyt666tslnvp">
        <w:r>
          <w:rPr>
            <w:rStyle w:val="Hyperlink"/>
            <w:sz w:val="17"/>
            <w:szCs w:val="17"/>
          </w:rPr>
          <w:t xml:space="preserve">https://www.tap.info.tn/fr/Portail-%C3%A0-la-Une-FR-top/19294504-nouveaux-avantages</w:t>
        </w:r>
      </w:hyperlink>
    </w:p>
  </w:footnote>
  <w:footnote w:id="25">
    <w:p>
      <w:r>
        <w:rPr>
          <w:rStyle w:val="FootnoteReference"/>
        </w:rPr>
        <w:footnoteRef/>
      </w:r>
      <w:r>
        <w:rPr>
          <w:rFonts w:ascii="Calibri" w:cs="Calibri" w:eastAsia="Calibri" w:hAnsi="Calibri"/>
          <w:color w:val="5C6A6B"/>
          <w:sz w:val="17"/>
          <w:szCs w:val="17"/>
        </w:rPr>
        <w:t xml:space="preserve">Décret-loi n° 2022-15 du 20 mars 2022 relatif aux sociétés communautaires (texte intégral, JORT). </w:t>
      </w:r>
      <w:hyperlink w:history="1" r:id="rIdcc7_mkex3migohgu1jghg">
        <w:r>
          <w:rPr>
            <w:rStyle w:val="Hyperlink"/>
            <w:sz w:val="17"/>
            <w:szCs w:val="17"/>
          </w:rPr>
          <w:t xml:space="preserve">https://faolex.fao.org/docs/pdf/tun226392.pdf</w:t>
        </w:r>
      </w:hyperlink>
    </w:p>
  </w:footnote>
  <w:footnote w:id="26">
    <w:p>
      <w:r>
        <w:rPr>
          <w:rStyle w:val="FootnoteReference"/>
        </w:rPr>
        <w:footnoteRef/>
      </w:r>
      <w:r>
        <w:rPr>
          <w:rFonts w:ascii="Calibri" w:cs="Calibri" w:eastAsia="Calibri" w:hAnsi="Calibri"/>
          <w:color w:val="5C6A6B"/>
          <w:sz w:val="17"/>
          <w:szCs w:val="17"/>
        </w:rPr>
        <w:t xml:space="preserve">Décret-loi n° 2022-15 du 20 mars 2022 relatif aux sociétés communautaires (texte intégral, JORT). </w:t>
      </w:r>
      <w:hyperlink w:history="1" r:id="rIdrlg7wbc8p3feosb_e6ker">
        <w:r>
          <w:rPr>
            <w:rStyle w:val="Hyperlink"/>
            <w:sz w:val="17"/>
            <w:szCs w:val="17"/>
          </w:rPr>
          <w:t xml:space="preserve">https://faolex.fao.org/docs/pdf/tun226392.pdf</w:t>
        </w:r>
      </w:hyperlink>
    </w:p>
  </w:footnote>
  <w:footnote w:id="27">
    <w:p>
      <w:r>
        <w:rPr>
          <w:rStyle w:val="FootnoteReference"/>
        </w:rPr>
        <w:footnoteRef/>
      </w:r>
      <w:r>
        <w:rPr>
          <w:rFonts w:ascii="Calibri" w:cs="Calibri" w:eastAsia="Calibri" w:hAnsi="Calibri"/>
          <w:color w:val="5C6A6B"/>
          <w:sz w:val="17"/>
          <w:szCs w:val="17"/>
        </w:rPr>
        <w:t xml:space="preserve">Agence TAP, « Nouveaux avantages pour faciliter la création des sociétés communautaires » (décret-loi n° 2025-3 du 2 octobre 2025), 4 octobre 2025. </w:t>
      </w:r>
      <w:hyperlink w:history="1" r:id="rIddamvjuarfw9vup48g0qrn">
        <w:r>
          <w:rPr>
            <w:rStyle w:val="Hyperlink"/>
            <w:sz w:val="17"/>
            <w:szCs w:val="17"/>
          </w:rPr>
          <w:t xml:space="preserve">https://www.tap.info.tn/fr/Portail-%C3%A0-la-Une-FR-top/19294504-nouveaux-avantages</w:t>
        </w:r>
      </w:hyperlink>
    </w:p>
  </w:footnote>
  <w:footnote w:id="28">
    <w:p>
      <w:r>
        <w:rPr>
          <w:rStyle w:val="FootnoteReference"/>
        </w:rPr>
        <w:footnoteRef/>
      </w:r>
      <w:r>
        <w:rPr>
          <w:rFonts w:ascii="Calibri" w:cs="Calibri" w:eastAsia="Calibri" w:hAnsi="Calibri"/>
          <w:color w:val="5C6A6B"/>
          <w:sz w:val="17"/>
          <w:szCs w:val="17"/>
        </w:rPr>
        <w:t xml:space="preserve">Décret-loi n° 2022-15 du 20 mars 2022 relatif aux sociétés communautaires (texte intégral, JORT). </w:t>
      </w:r>
      <w:hyperlink w:history="1" r:id="rIdradf7opn7wzuszn74c9sl">
        <w:r>
          <w:rPr>
            <w:rStyle w:val="Hyperlink"/>
            <w:sz w:val="17"/>
            <w:szCs w:val="17"/>
          </w:rPr>
          <w:t xml:space="preserve">https://faolex.fao.org/docs/pdf/tun226392.pdf</w:t>
        </w:r>
      </w:hyperlink>
    </w:p>
  </w:footnote>
  <w:footnote w:id="29">
    <w:p>
      <w:r>
        <w:rPr>
          <w:rStyle w:val="FootnoteReference"/>
        </w:rPr>
        <w:footnoteRef/>
      </w:r>
      <w:r>
        <w:rPr>
          <w:rFonts w:ascii="Calibri" w:cs="Calibri" w:eastAsia="Calibri" w:hAnsi="Calibri"/>
          <w:color w:val="5C6A6B"/>
          <w:sz w:val="17"/>
          <w:szCs w:val="17"/>
        </w:rPr>
        <w:t xml:space="preserve">Agence TAP, « Nouveaux avantages pour faciliter la création des sociétés communautaires » (décret-loi n° 2025-3 du 2 octobre 2025), 4 octobre 2025. </w:t>
      </w:r>
      <w:hyperlink w:history="1" r:id="rId3g_zv4eif-ynkb80aa0ju">
        <w:r>
          <w:rPr>
            <w:rStyle w:val="Hyperlink"/>
            <w:sz w:val="17"/>
            <w:szCs w:val="17"/>
          </w:rPr>
          <w:t xml:space="preserve">https://www.tap.info.tn/fr/Portail-%C3%A0-la-Une-FR-top/19294504-nouveaux-avantages</w:t>
        </w:r>
      </w:hyperlink>
    </w:p>
  </w:footnote>
  <w:footnote w:id="30">
    <w:p>
      <w:r>
        <w:rPr>
          <w:rStyle w:val="FootnoteReference"/>
        </w:rPr>
        <w:footnoteRef/>
      </w:r>
      <w:r>
        <w:rPr>
          <w:rFonts w:ascii="Calibri" w:cs="Calibri" w:eastAsia="Calibri" w:hAnsi="Calibri"/>
          <w:color w:val="5C6A6B"/>
          <w:sz w:val="17"/>
          <w:szCs w:val="17"/>
        </w:rPr>
        <w:t xml:space="preserve">L’Économiste Maghrébin, « L’ONE met en lumière les défis des sociétés communautaires », 31 octobre 2024. </w:t>
      </w:r>
      <w:hyperlink w:history="1" r:id="rId-vugzksqm8f2oleub5m-q">
        <w:r>
          <w:rPr>
            <w:rStyle w:val="Hyperlink"/>
            <w:sz w:val="17"/>
            <w:szCs w:val="17"/>
          </w:rPr>
          <w:t xml:space="preserve">https://www.leconomistemaghrebin.com/2024/10/31/lone-met-lumiere-defis-opportunites-societes-communautaires/</w:t>
        </w:r>
      </w:hyperlink>
    </w:p>
  </w:footnote>
  <w:footnote w:id="31">
    <w:p>
      <w:r>
        <w:rPr>
          <w:rStyle w:val="FootnoteReference"/>
        </w:rPr>
        <w:footnoteRef/>
      </w:r>
      <w:r>
        <w:rPr>
          <w:rFonts w:ascii="Calibri" w:cs="Calibri" w:eastAsia="Calibri" w:hAnsi="Calibri"/>
          <w:color w:val="5C6A6B"/>
          <w:sz w:val="17"/>
          <w:szCs w:val="17"/>
        </w:rPr>
        <w:t xml:space="preserve">BIAT, « Un partenaire de confiance pour les sociétés communautaires », 23 janvier 2025. </w:t>
      </w:r>
      <w:hyperlink w:history="1" r:id="rIdqlfhizwgd5rvs7-o4hwz2">
        <w:r>
          <w:rPr>
            <w:rStyle w:val="Hyperlink"/>
            <w:sz w:val="17"/>
            <w:szCs w:val="17"/>
          </w:rPr>
          <w:t xml:space="preserve">http://www.biat.com.tn/biat-la-une/press-media/la-biat-un-partenaire-de-confiance-pour-les-societes-communautaires</w:t>
        </w:r>
      </w:hyperlink>
    </w:p>
  </w:footnote>
  <w:footnote w:id="32">
    <w:p>
      <w:r>
        <w:rPr>
          <w:rStyle w:val="FootnoteReference"/>
        </w:rPr>
        <w:footnoteRef/>
      </w:r>
      <w:r>
        <w:rPr>
          <w:rFonts w:ascii="Calibri" w:cs="Calibri" w:eastAsia="Calibri" w:hAnsi="Calibri"/>
          <w:color w:val="5C6A6B"/>
          <w:sz w:val="17"/>
          <w:szCs w:val="17"/>
        </w:rPr>
        <w:t xml:space="preserve">Swiver, « Qu’est-ce qu’une société communautaire (الشركة الأهلية) ? », 27 décembre 2024. </w:t>
      </w:r>
      <w:hyperlink w:history="1" r:id="rIdwx0ehmzly20wxegiuzyaj">
        <w:r>
          <w:rPr>
            <w:rStyle w:val="Hyperlink"/>
            <w:sz w:val="17"/>
            <w:szCs w:val="17"/>
          </w:rPr>
          <w:t xml:space="preserve">https://swiver.io/blog/societe-communautaire/</w:t>
        </w:r>
      </w:hyperlink>
    </w:p>
  </w:footnote>
  <w:footnote w:id="33">
    <w:p>
      <w:r>
        <w:rPr>
          <w:rStyle w:val="FootnoteReference"/>
        </w:rPr>
        <w:footnoteRef/>
      </w:r>
      <w:r>
        <w:rPr>
          <w:rFonts w:ascii="Calibri" w:cs="Calibri" w:eastAsia="Calibri" w:hAnsi="Calibri"/>
          <w:color w:val="5C6A6B"/>
          <w:sz w:val="17"/>
          <w:szCs w:val="17"/>
        </w:rPr>
        <w:t xml:space="preserve">Agence TAP, « Nouveaux avantages pour faciliter la création des sociétés communautaires » (décret-loi n° 2025-3 du 2 octobre 2025), 4 octobre 2025. </w:t>
      </w:r>
      <w:hyperlink w:history="1" r:id="rIdw82rlrcqsk-fiin8xn1lr">
        <w:r>
          <w:rPr>
            <w:rStyle w:val="Hyperlink"/>
            <w:sz w:val="17"/>
            <w:szCs w:val="17"/>
          </w:rPr>
          <w:t xml:space="preserve">https://www.tap.info.tn/fr/Portail-%C3%A0-la-Une-FR-top/19294504-nouveaux-avantages</w:t>
        </w:r>
      </w:hyperlink>
    </w:p>
  </w:footnote>
  <w:footnote w:id="34">
    <w:p>
      <w:r>
        <w:rPr>
          <w:rStyle w:val="FootnoteReference"/>
        </w:rPr>
        <w:footnoteRef/>
      </w:r>
      <w:r>
        <w:rPr>
          <w:rFonts w:ascii="Calibri" w:cs="Calibri" w:eastAsia="Calibri" w:hAnsi="Calibri"/>
          <w:color w:val="5C6A6B"/>
          <w:sz w:val="17"/>
          <w:szCs w:val="17"/>
        </w:rPr>
        <w:t xml:space="preserve">Décret présidentiel n° 2022-498 du 19 mai 2022 portant approbation des statuts-types des sociétés communautaires locales et régionales. </w:t>
      </w:r>
      <w:hyperlink w:history="1" r:id="rIdnfbyjaa3tkyxxz0sydxux">
        <w:r>
          <w:rPr>
            <w:rStyle w:val="Hyperlink"/>
            <w:sz w:val="17"/>
            <w:szCs w:val="17"/>
          </w:rPr>
          <w:t xml:space="preserve">https://www.diwan.tn/fr/document/card/0f127de9-df10-4afe-81ea-3af92d6bdaec</w:t>
        </w:r>
      </w:hyperlink>
    </w:p>
  </w:footnote>
  <w:footnote w:id="35">
    <w:p>
      <w:r>
        <w:rPr>
          <w:rStyle w:val="FootnoteReference"/>
        </w:rPr>
        <w:footnoteRef/>
      </w:r>
      <w:r>
        <w:rPr>
          <w:rFonts w:ascii="Calibri" w:cs="Calibri" w:eastAsia="Calibri" w:hAnsi="Calibri"/>
          <w:color w:val="5C6A6B"/>
          <w:sz w:val="17"/>
          <w:szCs w:val="17"/>
        </w:rPr>
        <w:t xml:space="preserve">Décret-loi n° 2022-15 du 20 mars 2022 relatif aux sociétés communautaires (texte intégral, JORT). </w:t>
      </w:r>
      <w:hyperlink w:history="1" r:id="rIdefie2w0p-q6rjclwbtzhc">
        <w:r>
          <w:rPr>
            <w:rStyle w:val="Hyperlink"/>
            <w:sz w:val="17"/>
            <w:szCs w:val="17"/>
          </w:rPr>
          <w:t xml:space="preserve">https://faolex.fao.org/docs/pdf/tun226392.pdf</w:t>
        </w:r>
      </w:hyperlink>
    </w:p>
  </w:footnote>
  <w:footnote w:id="36">
    <w:p>
      <w:r>
        <w:rPr>
          <w:rStyle w:val="FootnoteReference"/>
        </w:rPr>
        <w:footnoteRef/>
      </w:r>
      <w:r>
        <w:rPr>
          <w:rFonts w:ascii="Calibri" w:cs="Calibri" w:eastAsia="Calibri" w:hAnsi="Calibri"/>
          <w:color w:val="5C6A6B"/>
          <w:sz w:val="17"/>
          <w:szCs w:val="17"/>
        </w:rPr>
        <w:t xml:space="preserve">Décret-loi n° 2022-15 du 20 mars 2022 relatif aux sociétés communautaires (texte intégral, JORT). </w:t>
      </w:r>
      <w:hyperlink w:history="1" r:id="rIdffg84seii855ckwnjhen0">
        <w:r>
          <w:rPr>
            <w:rStyle w:val="Hyperlink"/>
            <w:sz w:val="17"/>
            <w:szCs w:val="17"/>
          </w:rPr>
          <w:t xml:space="preserve">https://faolex.fao.org/docs/pdf/tun226392.pdf</w:t>
        </w:r>
      </w:hyperlink>
    </w:p>
  </w:footnote>
  <w:footnote w:id="37">
    <w:p>
      <w:r>
        <w:rPr>
          <w:rStyle w:val="FootnoteReference"/>
        </w:rPr>
        <w:footnoteRef/>
      </w:r>
      <w:r>
        <w:rPr>
          <w:rFonts w:ascii="Calibri" w:cs="Calibri" w:eastAsia="Calibri" w:hAnsi="Calibri"/>
          <w:color w:val="5C6A6B"/>
          <w:sz w:val="17"/>
          <w:szCs w:val="17"/>
        </w:rPr>
        <w:t xml:space="preserve">Agence TAP, « Nouveaux avantages pour faciliter la création des sociétés communautaires » (décret-loi n° 2025-3 du 2 octobre 2025), 4 octobre 2025. </w:t>
      </w:r>
      <w:hyperlink w:history="1" r:id="rId0nclyvugnuocqjdgrr8m8">
        <w:r>
          <w:rPr>
            <w:rStyle w:val="Hyperlink"/>
            <w:sz w:val="17"/>
            <w:szCs w:val="17"/>
          </w:rPr>
          <w:t xml:space="preserve">https://www.tap.info.tn/fr/Portail-%C3%A0-la-Une-FR-top/19294504-nouveaux-avantages</w:t>
        </w:r>
      </w:hyperlink>
    </w:p>
  </w:footnote>
  <w:footnote w:id="38">
    <w:p>
      <w:r>
        <w:rPr>
          <w:rStyle w:val="FootnoteReference"/>
        </w:rPr>
        <w:footnoteRef/>
      </w:r>
      <w:r>
        <w:rPr>
          <w:rFonts w:ascii="Calibri" w:cs="Calibri" w:eastAsia="Calibri" w:hAnsi="Calibri"/>
          <w:color w:val="5C6A6B"/>
          <w:sz w:val="17"/>
          <w:szCs w:val="17"/>
        </w:rPr>
        <w:t xml:space="preserve">Loi de finances pour l’année 2025, article 56 (suspension de TVA — article 13 septies du code de la TVA), Jurisite Tunisie. </w:t>
      </w:r>
      <w:hyperlink w:history="1" r:id="rId8kz0jijt9izp39kmtama3">
        <w:r>
          <w:rPr>
            <w:rStyle w:val="Hyperlink"/>
            <w:sz w:val="17"/>
            <w:szCs w:val="17"/>
          </w:rPr>
          <w:t xml:space="preserve">https://www.jurisitetunisie.com/tunisie/codes/lf2025/loifinances2025-56_fr.html</w:t>
        </w:r>
      </w:hyperlink>
    </w:p>
  </w:footnote>
  <w:footnote w:id="39">
    <w:p>
      <w:r>
        <w:rPr>
          <w:rStyle w:val="FootnoteReference"/>
        </w:rPr>
        <w:footnoteRef/>
      </w:r>
      <w:r>
        <w:rPr>
          <w:rFonts w:ascii="Calibri" w:cs="Calibri" w:eastAsia="Calibri" w:hAnsi="Calibri"/>
          <w:color w:val="5C6A6B"/>
          <w:sz w:val="17"/>
          <w:szCs w:val="17"/>
        </w:rPr>
        <w:t xml:space="preserve">CCI du Centre, Flash info janvier 2025 (lignes de financement BFPME et Fonds national de l’emploi). </w:t>
      </w:r>
      <w:hyperlink w:history="1" r:id="rIdz2sv7d0cboikkrwqj23vh">
        <w:r>
          <w:rPr>
            <w:rStyle w:val="Hyperlink"/>
            <w:sz w:val="17"/>
            <w:szCs w:val="17"/>
          </w:rPr>
          <w:t xml:space="preserve">https://www.ccicentre.org.tn/flashinfo2025/flashinfojanvier2025.html</w:t>
        </w:r>
      </w:hyperlink>
    </w:p>
  </w:footnote>
  <w:footnote w:id="40">
    <w:p>
      <w:r>
        <w:rPr>
          <w:rStyle w:val="FootnoteReference"/>
        </w:rPr>
        <w:footnoteRef/>
      </w:r>
      <w:r>
        <w:rPr>
          <w:rFonts w:ascii="Calibri" w:cs="Calibri" w:eastAsia="Calibri" w:hAnsi="Calibri"/>
          <w:color w:val="5C6A6B"/>
          <w:sz w:val="17"/>
          <w:szCs w:val="17"/>
        </w:rPr>
        <w:t xml:space="preserve">Inkyfada, « Les entreprises communautaires : au cœur du projet », 4 décembre 2024. </w:t>
      </w:r>
      <w:hyperlink w:history="1" r:id="rId_qqtdi4u1p3zz2qmliiup">
        <w:r>
          <w:rPr>
            <w:rStyle w:val="Hyperlink"/>
            <w:sz w:val="17"/>
            <w:szCs w:val="17"/>
          </w:rPr>
          <w:t xml:space="preserve">https://inkyfada.com/fr/2024/12/04/entreprises-communautaires-tunisie/</w:t>
        </w:r>
      </w:hyperlink>
    </w:p>
  </w:footnote>
  <w:footnote w:id="41">
    <w:p>
      <w:r>
        <w:rPr>
          <w:rStyle w:val="FootnoteReference"/>
        </w:rPr>
        <w:footnoteRef/>
      </w:r>
      <w:r>
        <w:rPr>
          <w:rFonts w:ascii="Calibri" w:cs="Calibri" w:eastAsia="Calibri" w:hAnsi="Calibri"/>
          <w:color w:val="5C6A6B"/>
          <w:sz w:val="17"/>
          <w:szCs w:val="17"/>
        </w:rPr>
        <w:t xml:space="preserve">BIAT, « Un partenaire de confiance pour les sociétés communautaires », 23 janvier 2025. </w:t>
      </w:r>
      <w:hyperlink w:history="1" r:id="rId27favl2thkepuc2cv0izf">
        <w:r>
          <w:rPr>
            <w:rStyle w:val="Hyperlink"/>
            <w:sz w:val="17"/>
            <w:szCs w:val="17"/>
          </w:rPr>
          <w:t xml:space="preserve">http://www.biat.com.tn/biat-la-une/press-media/la-biat-un-partenaire-de-confiance-pour-les-societes-communautaires</w:t>
        </w:r>
      </w:hyperlink>
    </w:p>
  </w:footnote>
  <w:footnote w:id="42">
    <w:p>
      <w:r>
        <w:rPr>
          <w:rStyle w:val="FootnoteReference"/>
        </w:rPr>
        <w:footnoteRef/>
      </w:r>
      <w:r>
        <w:rPr>
          <w:rFonts w:ascii="Calibri" w:cs="Calibri" w:eastAsia="Calibri" w:hAnsi="Calibri"/>
          <w:color w:val="5C6A6B"/>
          <w:sz w:val="17"/>
          <w:szCs w:val="17"/>
        </w:rPr>
        <w:t xml:space="preserve">CCI du Centre, Flash info janvier 2025 (lignes de financement BFPME et Fonds national de l’emploi). </w:t>
      </w:r>
      <w:hyperlink w:history="1" r:id="rId7xi4psk6tjfulyo56771b">
        <w:r>
          <w:rPr>
            <w:rStyle w:val="Hyperlink"/>
            <w:sz w:val="17"/>
            <w:szCs w:val="17"/>
          </w:rPr>
          <w:t xml:space="preserve">https://www.ccicentre.org.tn/flashinfo2025/flashinfojanvier2025.html</w:t>
        </w:r>
      </w:hyperlink>
    </w:p>
  </w:footnote>
  <w:footnote w:id="43">
    <w:p>
      <w:r>
        <w:rPr>
          <w:rStyle w:val="FootnoteReference"/>
        </w:rPr>
        <w:footnoteRef/>
      </w:r>
      <w:r>
        <w:rPr>
          <w:rFonts w:ascii="Calibri" w:cs="Calibri" w:eastAsia="Calibri" w:hAnsi="Calibri"/>
          <w:color w:val="5C6A6B"/>
          <w:sz w:val="17"/>
          <w:szCs w:val="17"/>
        </w:rPr>
        <w:t xml:space="preserve">La Presse de Tunisie, « 160 sociétés communautaires créées, le secteur agricole en tête », 12 mars 2025. </w:t>
      </w:r>
      <w:hyperlink w:history="1" r:id="rIdrrlni72p6-luikarv76qy">
        <w:r>
          <w:rPr>
            <w:rStyle w:val="Hyperlink"/>
            <w:sz w:val="17"/>
            <w:szCs w:val="17"/>
          </w:rPr>
          <w:t xml:space="preserve">https://www.lapresse.tn/2025/03/12/tunisie-160-societes-communautaires-creees-le-secteur-agricole-en-tete/</w:t>
        </w:r>
      </w:hyperlink>
    </w:p>
  </w:footnote>
  <w:footnote w:id="44">
    <w:p>
      <w:r>
        <w:rPr>
          <w:rStyle w:val="FootnoteReference"/>
        </w:rPr>
        <w:footnoteRef/>
      </w:r>
      <w:r>
        <w:rPr>
          <w:rFonts w:ascii="Calibri" w:cs="Calibri" w:eastAsia="Calibri" w:hAnsi="Calibri"/>
          <w:color w:val="5C6A6B"/>
          <w:sz w:val="17"/>
          <w:szCs w:val="17"/>
        </w:rPr>
        <w:t xml:space="preserve">Inkyfada, « Les entreprises communautaires : au cœur du projet », 4 décembre 2024. </w:t>
      </w:r>
      <w:hyperlink w:history="1" r:id="rIdwihp2xz-7phj7ej69nfd9">
        <w:r>
          <w:rPr>
            <w:rStyle w:val="Hyperlink"/>
            <w:sz w:val="17"/>
            <w:szCs w:val="17"/>
          </w:rPr>
          <w:t xml:space="preserve">https://inkyfada.com/fr/2024/12/04/entreprises-communautaires-tunisie/</w:t>
        </w:r>
      </w:hyperlink>
    </w:p>
  </w:footnote>
  <w:footnote w:id="45">
    <w:p>
      <w:r>
        <w:rPr>
          <w:rStyle w:val="FootnoteReference"/>
        </w:rPr>
        <w:footnoteRef/>
      </w:r>
      <w:r>
        <w:rPr>
          <w:rFonts w:ascii="Calibri" w:cs="Calibri" w:eastAsia="Calibri" w:hAnsi="Calibri"/>
          <w:color w:val="5C6A6B"/>
          <w:sz w:val="17"/>
          <w:szCs w:val="17"/>
        </w:rPr>
        <w:t xml:space="preserve">Swiver, « Qu’est-ce qu’une société communautaire (الشركة الأهلية) ? », 27 décembre 2024. </w:t>
      </w:r>
      <w:hyperlink w:history="1" r:id="rIdv51z59vftuhasgdpjp2jo">
        <w:r>
          <w:rPr>
            <w:rStyle w:val="Hyperlink"/>
            <w:sz w:val="17"/>
            <w:szCs w:val="17"/>
          </w:rPr>
          <w:t xml:space="preserve">https://swiver.io/blog/societe-communautaire/</w:t>
        </w:r>
      </w:hyperlink>
    </w:p>
  </w:footnote>
  <w:footnote w:id="46">
    <w:p>
      <w:r>
        <w:rPr>
          <w:rStyle w:val="FootnoteReference"/>
        </w:rPr>
        <w:footnoteRef/>
      </w:r>
      <w:r>
        <w:rPr>
          <w:rFonts w:ascii="Calibri" w:cs="Calibri" w:eastAsia="Calibri" w:hAnsi="Calibri"/>
          <w:color w:val="5C6A6B"/>
          <w:sz w:val="17"/>
          <w:szCs w:val="17"/>
        </w:rPr>
        <w:t xml:space="preserve">Managers.tn, « Voici les étapes de création d’une entreprise communautaire en Tunisie », 10 mars 2025. </w:t>
      </w:r>
      <w:hyperlink w:history="1" r:id="rIdmfsppewxqy6orc0khnsir">
        <w:r>
          <w:rPr>
            <w:rStyle w:val="Hyperlink"/>
            <w:sz w:val="17"/>
            <w:szCs w:val="17"/>
          </w:rPr>
          <w:t xml:space="preserve">https://managers.tn/2025/03/10/voici-les-etapes-de-creation-dune-entreprise-communautaire-en-tunisie/</w:t>
        </w:r>
      </w:hyperlink>
    </w:p>
  </w:footnote>
  <w:footnote w:id="47">
    <w:p>
      <w:r>
        <w:rPr>
          <w:rStyle w:val="FootnoteReference"/>
        </w:rPr>
        <w:footnoteRef/>
      </w:r>
      <w:r>
        <w:rPr>
          <w:rFonts w:ascii="Calibri" w:cs="Calibri" w:eastAsia="Calibri" w:hAnsi="Calibri"/>
          <w:color w:val="5C6A6B"/>
          <w:sz w:val="17"/>
          <w:szCs w:val="17"/>
        </w:rPr>
        <w:t xml:space="preserve">Agence TAP, « Nouveaux avantages pour faciliter la création des sociétés communautaires » (décret-loi n° 2025-3 du 2 octobre 2025), 4 octobre 2025. </w:t>
      </w:r>
      <w:hyperlink w:history="1" r:id="rIdkuj75gqe6mcgt6mi62xps">
        <w:r>
          <w:rPr>
            <w:rStyle w:val="Hyperlink"/>
            <w:sz w:val="17"/>
            <w:szCs w:val="17"/>
          </w:rPr>
          <w:t xml:space="preserve">https://www.tap.info.tn/fr/Portail-%C3%A0-la-Une-FR-top/19294504-nouveaux-avantages</w:t>
        </w:r>
      </w:hyperlink>
    </w:p>
  </w:footnote>
  <w:footnote w:id="48">
    <w:p>
      <w:r>
        <w:rPr>
          <w:rStyle w:val="FootnoteReference"/>
        </w:rPr>
        <w:footnoteRef/>
      </w:r>
      <w:r>
        <w:rPr>
          <w:rFonts w:ascii="Calibri" w:cs="Calibri" w:eastAsia="Calibri" w:hAnsi="Calibri"/>
          <w:color w:val="5C6A6B"/>
          <w:sz w:val="17"/>
          <w:szCs w:val="17"/>
        </w:rPr>
        <w:t xml:space="preserve">Swiver, « Qu’est-ce qu’une société communautaire (الشركة الأهلية) ? », 27 décembre 2024. </w:t>
      </w:r>
      <w:hyperlink w:history="1" r:id="rIdcw8rc_x1jeaagtdx9uegz">
        <w:r>
          <w:rPr>
            <w:rStyle w:val="Hyperlink"/>
            <w:sz w:val="17"/>
            <w:szCs w:val="17"/>
          </w:rPr>
          <w:t xml:space="preserve">https://swiver.io/blog/societe-communautaire/</w:t>
        </w:r>
      </w:hyperlink>
    </w:p>
  </w:footnote>
  <w:footnote w:id="49">
    <w:p>
      <w:r>
        <w:rPr>
          <w:rStyle w:val="FootnoteReference"/>
        </w:rPr>
        <w:footnoteRef/>
      </w:r>
      <w:r>
        <w:rPr>
          <w:rFonts w:ascii="Calibri" w:cs="Calibri" w:eastAsia="Calibri" w:hAnsi="Calibri"/>
          <w:color w:val="5C6A6B"/>
          <w:sz w:val="17"/>
          <w:szCs w:val="17"/>
        </w:rPr>
        <w:t xml:space="preserve">Agence TAP, « Nouveaux avantages pour faciliter la création des sociétés communautaires » (décret-loi n° 2025-3 du 2 octobre 2025), 4 octobre 2025. </w:t>
      </w:r>
      <w:hyperlink w:history="1" r:id="rId5zm2483-xroahrlcbz84g">
        <w:r>
          <w:rPr>
            <w:rStyle w:val="Hyperlink"/>
            <w:sz w:val="17"/>
            <w:szCs w:val="17"/>
          </w:rPr>
          <w:t xml:space="preserve">https://www.tap.info.tn/fr/Portail-%C3%A0-la-Une-FR-top/19294504-nouveaux-avantages</w:t>
        </w:r>
      </w:hyperlink>
    </w:p>
  </w:footnote>
  <w:footnote w:id="50">
    <w:p>
      <w:r>
        <w:rPr>
          <w:rStyle w:val="FootnoteReference"/>
        </w:rPr>
        <w:footnoteRef/>
      </w:r>
      <w:r>
        <w:rPr>
          <w:rFonts w:ascii="Calibri" w:cs="Calibri" w:eastAsia="Calibri" w:hAnsi="Calibri"/>
          <w:color w:val="5C6A6B"/>
          <w:sz w:val="17"/>
          <w:szCs w:val="17"/>
        </w:rPr>
        <w:t xml:space="preserve">Managers.tn, « Voici les étapes de création d’une entreprise communautaire en Tunisie », 10 mars 2025. </w:t>
      </w:r>
      <w:hyperlink w:history="1" r:id="rId2y8bqoexwy0xdueqfziul">
        <w:r>
          <w:rPr>
            <w:rStyle w:val="Hyperlink"/>
            <w:sz w:val="17"/>
            <w:szCs w:val="17"/>
          </w:rPr>
          <w:t xml:space="preserve">https://managers.tn/2025/03/10/voici-les-etapes-de-creation-dune-entreprise-communautaire-en-tunisie/</w:t>
        </w:r>
      </w:hyperlink>
    </w:p>
  </w:footnote>
  <w:footnote w:id="51">
    <w:p>
      <w:r>
        <w:rPr>
          <w:rStyle w:val="FootnoteReference"/>
        </w:rPr>
        <w:footnoteRef/>
      </w:r>
      <w:r>
        <w:rPr>
          <w:rFonts w:ascii="Calibri" w:cs="Calibri" w:eastAsia="Calibri" w:hAnsi="Calibri"/>
          <w:color w:val="5C6A6B"/>
          <w:sz w:val="17"/>
          <w:szCs w:val="17"/>
        </w:rPr>
        <w:t xml:space="preserve">Agence TAP, « Nouveaux avantages pour faciliter la création des sociétés communautaires » (décret-loi n° 2025-3 du 2 octobre 2025), 4 octobre 2025. </w:t>
      </w:r>
      <w:hyperlink w:history="1" r:id="rIdo20at-fwla66zkgkfrtld">
        <w:r>
          <w:rPr>
            <w:rStyle w:val="Hyperlink"/>
            <w:sz w:val="17"/>
            <w:szCs w:val="17"/>
          </w:rPr>
          <w:t xml:space="preserve">https://www.tap.info.tn/fr/Portail-%C3%A0-la-Une-FR-top/19294504-nouveaux-avantages</w:t>
        </w:r>
      </w:hyperlink>
    </w:p>
  </w:footnote>
  <w:footnote w:id="52">
    <w:p>
      <w:r>
        <w:rPr>
          <w:rStyle w:val="FootnoteReference"/>
        </w:rPr>
        <w:footnoteRef/>
      </w:r>
      <w:r>
        <w:rPr>
          <w:rFonts w:ascii="Calibri" w:cs="Calibri" w:eastAsia="Calibri" w:hAnsi="Calibri"/>
          <w:color w:val="5C6A6B"/>
          <w:sz w:val="17"/>
          <w:szCs w:val="17"/>
        </w:rPr>
        <w:t xml:space="preserve">Managers.tn, « Voici les étapes de création d’une entreprise communautaire en Tunisie », 10 mars 2025. </w:t>
      </w:r>
      <w:hyperlink w:history="1" r:id="rIdvosixz7zo4g6_oqbvl-_h">
        <w:r>
          <w:rPr>
            <w:rStyle w:val="Hyperlink"/>
            <w:sz w:val="17"/>
            <w:szCs w:val="17"/>
          </w:rPr>
          <w:t xml:space="preserve">https://managers.tn/2025/03/10/voici-les-etapes-de-creation-dune-entreprise-communautaire-en-tunisie/</w:t>
        </w:r>
      </w:hyperlink>
    </w:p>
  </w:footnote>
  <w:footnote w:id="53">
    <w:p>
      <w:r>
        <w:rPr>
          <w:rStyle w:val="FootnoteReference"/>
        </w:rPr>
        <w:footnoteRef/>
      </w:r>
      <w:r>
        <w:rPr>
          <w:rFonts w:ascii="Calibri" w:cs="Calibri" w:eastAsia="Calibri" w:hAnsi="Calibri"/>
          <w:color w:val="5C6A6B"/>
          <w:sz w:val="17"/>
          <w:szCs w:val="17"/>
        </w:rPr>
        <w:t xml:space="preserve">Managers.tn, « Voici les étapes de création d’une entreprise communautaire en Tunisie », 10 mars 2025. </w:t>
      </w:r>
      <w:hyperlink w:history="1" r:id="rIde5inrh9h9jvqkp6m8o9tw">
        <w:r>
          <w:rPr>
            <w:rStyle w:val="Hyperlink"/>
            <w:sz w:val="17"/>
            <w:szCs w:val="17"/>
          </w:rPr>
          <w:t xml:space="preserve">https://managers.tn/2025/03/10/voici-les-etapes-de-creation-dune-entreprise-communautaire-en-tunisie/</w:t>
        </w:r>
      </w:hyperlink>
    </w:p>
  </w:footnote>
  <w:footnote w:id="54">
    <w:p>
      <w:r>
        <w:rPr>
          <w:rStyle w:val="FootnoteReference"/>
        </w:rPr>
        <w:footnoteRef/>
      </w:r>
      <w:r>
        <w:rPr>
          <w:rFonts w:ascii="Calibri" w:cs="Calibri" w:eastAsia="Calibri" w:hAnsi="Calibri"/>
          <w:color w:val="5C6A6B"/>
          <w:sz w:val="17"/>
          <w:szCs w:val="17"/>
        </w:rPr>
        <w:t xml:space="preserve">Managers.tn, « Voici les étapes de création d’une entreprise communautaire en Tunisie », 10 mars 2025. </w:t>
      </w:r>
      <w:hyperlink w:history="1" r:id="rId5mlcejwmwfmoph8pjzvdp">
        <w:r>
          <w:rPr>
            <w:rStyle w:val="Hyperlink"/>
            <w:sz w:val="17"/>
            <w:szCs w:val="17"/>
          </w:rPr>
          <w:t xml:space="preserve">https://managers.tn/2025/03/10/voici-les-etapes-de-creation-dune-entreprise-communautaire-en-tunisie/</w:t>
        </w:r>
      </w:hyperlink>
    </w:p>
  </w:footnote>
  <w:footnote w:id="55">
    <w:p>
      <w:r>
        <w:rPr>
          <w:rStyle w:val="FootnoteReference"/>
        </w:rPr>
        <w:footnoteRef/>
      </w:r>
      <w:r>
        <w:rPr>
          <w:rFonts w:ascii="Calibri" w:cs="Calibri" w:eastAsia="Calibri" w:hAnsi="Calibri"/>
          <w:color w:val="5C6A6B"/>
          <w:sz w:val="17"/>
          <w:szCs w:val="17"/>
        </w:rPr>
        <w:t xml:space="preserve">Managers.tn, « Voici les étapes de création d’une entreprise communautaire en Tunisie », 10 mars 2025. </w:t>
      </w:r>
      <w:hyperlink w:history="1" r:id="rIdutawerrz2fahfubafgzcw">
        <w:r>
          <w:rPr>
            <w:rStyle w:val="Hyperlink"/>
            <w:sz w:val="17"/>
            <w:szCs w:val="17"/>
          </w:rPr>
          <w:t xml:space="preserve">https://managers.tn/2025/03/10/voici-les-etapes-de-creation-dune-entreprise-communautaire-en-tunisie/</w:t>
        </w:r>
      </w:hyperlink>
    </w:p>
  </w:footnote>
  <w:footnote w:id="56">
    <w:p>
      <w:r>
        <w:rPr>
          <w:rStyle w:val="FootnoteReference"/>
        </w:rPr>
        <w:footnoteRef/>
      </w:r>
      <w:r>
        <w:rPr>
          <w:rFonts w:ascii="Calibri" w:cs="Calibri" w:eastAsia="Calibri" w:hAnsi="Calibri"/>
          <w:color w:val="5C6A6B"/>
          <w:sz w:val="17"/>
          <w:szCs w:val="17"/>
        </w:rPr>
        <w:t xml:space="preserve">Décret présidentiel n° 2022-498 du 19 mai 2022 portant approbation des statuts-types des sociétés communautaires locales et régionales. </w:t>
      </w:r>
      <w:hyperlink w:history="1" r:id="rIdnoi46nxzpo28gqfuogzvj">
        <w:r>
          <w:rPr>
            <w:rStyle w:val="Hyperlink"/>
            <w:sz w:val="17"/>
            <w:szCs w:val="17"/>
          </w:rPr>
          <w:t xml:space="preserve">https://www.diwan.tn/fr/document/card/0f127de9-df10-4afe-81ea-3af92d6bdaec</w:t>
        </w:r>
      </w:hyperlink>
    </w:p>
  </w:footnote>
  <w:footnote w:id="57">
    <w:p>
      <w:r>
        <w:rPr>
          <w:rStyle w:val="FootnoteReference"/>
        </w:rPr>
        <w:footnoteRef/>
      </w:r>
      <w:r>
        <w:rPr>
          <w:rFonts w:ascii="Calibri" w:cs="Calibri" w:eastAsia="Calibri" w:hAnsi="Calibri"/>
          <w:color w:val="5C6A6B"/>
          <w:sz w:val="17"/>
          <w:szCs w:val="17"/>
        </w:rPr>
        <w:t xml:space="preserve">Managers.tn, « Voici les étapes de création d’une entreprise communautaire en Tunisie », 10 mars 2025. </w:t>
      </w:r>
      <w:hyperlink w:history="1" r:id="rId9vmcj8vpd-0yj2c7s3jyv">
        <w:r>
          <w:rPr>
            <w:rStyle w:val="Hyperlink"/>
            <w:sz w:val="17"/>
            <w:szCs w:val="17"/>
          </w:rPr>
          <w:t xml:space="preserve">https://managers.tn/2025/03/10/voici-les-etapes-de-creation-dune-entreprise-communautaire-en-tunisie/</w:t>
        </w:r>
      </w:hyperlink>
    </w:p>
  </w:footnote>
  <w:footnote w:id="58">
    <w:p>
      <w:r>
        <w:rPr>
          <w:rStyle w:val="FootnoteReference"/>
        </w:rPr>
        <w:footnoteRef/>
      </w:r>
      <w:r>
        <w:rPr>
          <w:rFonts w:ascii="Calibri" w:cs="Calibri" w:eastAsia="Calibri" w:hAnsi="Calibri"/>
          <w:color w:val="5C6A6B"/>
          <w:sz w:val="17"/>
          <w:szCs w:val="17"/>
        </w:rPr>
        <w:t xml:space="preserve">Managers.tn, « Voici les étapes de création d’une entreprise communautaire en Tunisie », 10 mars 2025. </w:t>
      </w:r>
      <w:hyperlink w:history="1" r:id="rIduczeu6qfkppduqgpsfrpq">
        <w:r>
          <w:rPr>
            <w:rStyle w:val="Hyperlink"/>
            <w:sz w:val="17"/>
            <w:szCs w:val="17"/>
          </w:rPr>
          <w:t xml:space="preserve">https://managers.tn/2025/03/10/voici-les-etapes-de-creation-dune-entreprise-communautaire-en-tunisie/</w:t>
        </w:r>
      </w:hyperlink>
    </w:p>
  </w:footnote>
  <w:footnote w:id="59">
    <w:p>
      <w:r>
        <w:rPr>
          <w:rStyle w:val="FootnoteReference"/>
        </w:rPr>
        <w:footnoteRef/>
      </w:r>
      <w:r>
        <w:rPr>
          <w:rFonts w:ascii="Calibri" w:cs="Calibri" w:eastAsia="Calibri" w:hAnsi="Calibri"/>
          <w:color w:val="5C6A6B"/>
          <w:sz w:val="17"/>
          <w:szCs w:val="17"/>
        </w:rPr>
        <w:t xml:space="preserve">Managers.tn, « Voici les étapes de création d’une entreprise communautaire en Tunisie », 10 mars 2025. </w:t>
      </w:r>
      <w:hyperlink w:history="1" r:id="rIdapynweg9c9_wnhkhneuus">
        <w:r>
          <w:rPr>
            <w:rStyle w:val="Hyperlink"/>
            <w:sz w:val="17"/>
            <w:szCs w:val="17"/>
          </w:rPr>
          <w:t xml:space="preserve">https://managers.tn/2025/03/10/voici-les-etapes-de-creation-dune-entreprise-communautaire-en-tunisie/</w:t>
        </w:r>
      </w:hyperlink>
    </w:p>
  </w:footnote>
  <w:footnote w:id="60">
    <w:p>
      <w:r>
        <w:rPr>
          <w:rStyle w:val="FootnoteReference"/>
        </w:rPr>
        <w:footnoteRef/>
      </w:r>
      <w:r>
        <w:rPr>
          <w:rFonts w:ascii="Calibri" w:cs="Calibri" w:eastAsia="Calibri" w:hAnsi="Calibri"/>
          <w:color w:val="5C6A6B"/>
          <w:sz w:val="17"/>
          <w:szCs w:val="17"/>
        </w:rPr>
        <w:t xml:space="preserve">Managers.tn, « Voici les étapes de création d’une entreprise communautaire en Tunisie », 10 mars 2025. </w:t>
      </w:r>
      <w:hyperlink w:history="1" r:id="rIdg0afu8d6frhq8_fhtd2gn">
        <w:r>
          <w:rPr>
            <w:rStyle w:val="Hyperlink"/>
            <w:sz w:val="17"/>
            <w:szCs w:val="17"/>
          </w:rPr>
          <w:t xml:space="preserve">https://managers.tn/2025/03/10/voici-les-etapes-de-creation-dune-entreprise-communautaire-en-tunisie/</w:t>
        </w:r>
      </w:hyperlink>
    </w:p>
  </w:footnote>
  <w:footnote w:id="61">
    <w:p>
      <w:r>
        <w:rPr>
          <w:rStyle w:val="FootnoteReference"/>
        </w:rPr>
        <w:footnoteRef/>
      </w:r>
      <w:r>
        <w:rPr>
          <w:rFonts w:ascii="Calibri" w:cs="Calibri" w:eastAsia="Calibri" w:hAnsi="Calibri"/>
          <w:color w:val="5C6A6B"/>
          <w:sz w:val="17"/>
          <w:szCs w:val="17"/>
        </w:rPr>
        <w:t xml:space="preserve">Managers.tn, « Voici les étapes de création d’une entreprise communautaire en Tunisie », 10 mars 2025. </w:t>
      </w:r>
      <w:hyperlink w:history="1" r:id="rIdvmzl4_uiq-2ngtdfqkimp">
        <w:r>
          <w:rPr>
            <w:rStyle w:val="Hyperlink"/>
            <w:sz w:val="17"/>
            <w:szCs w:val="17"/>
          </w:rPr>
          <w:t xml:space="preserve">https://managers.tn/2025/03/10/voici-les-etapes-de-creation-dune-entreprise-communautaire-en-tunisie/</w:t>
        </w:r>
      </w:hyperlink>
    </w:p>
  </w:footnote>
  <w:footnote w:id="62">
    <w:p>
      <w:r>
        <w:rPr>
          <w:rStyle w:val="FootnoteReference"/>
        </w:rPr>
        <w:footnoteRef/>
      </w:r>
      <w:r>
        <w:rPr>
          <w:rFonts w:ascii="Calibri" w:cs="Calibri" w:eastAsia="Calibri" w:hAnsi="Calibri"/>
          <w:color w:val="5C6A6B"/>
          <w:sz w:val="17"/>
          <w:szCs w:val="17"/>
        </w:rPr>
        <w:t xml:space="preserve">Managers.tn, « Voici les étapes de création d’une entreprise communautaire en Tunisie », 10 mars 2025. </w:t>
      </w:r>
      <w:hyperlink w:history="1" r:id="rIdxxtnstvqybzhfhsdrlshk">
        <w:r>
          <w:rPr>
            <w:rStyle w:val="Hyperlink"/>
            <w:sz w:val="17"/>
            <w:szCs w:val="17"/>
          </w:rPr>
          <w:t xml:space="preserve">https://managers.tn/2025/03/10/voici-les-etapes-de-creation-dune-entreprise-communautaire-en-tunisie/</w:t>
        </w:r>
      </w:hyperlink>
    </w:p>
  </w:footnote>
  <w:footnote w:id="63">
    <w:p>
      <w:r>
        <w:rPr>
          <w:rStyle w:val="FootnoteReference"/>
        </w:rPr>
        <w:footnoteRef/>
      </w:r>
      <w:r>
        <w:rPr>
          <w:rFonts w:ascii="Calibri" w:cs="Calibri" w:eastAsia="Calibri" w:hAnsi="Calibri"/>
          <w:color w:val="5C6A6B"/>
          <w:sz w:val="17"/>
          <w:szCs w:val="17"/>
        </w:rPr>
        <w:t xml:space="preserve">Managers.tn, « Voici les étapes de création d’une entreprise communautaire en Tunisie », 10 mars 2025. </w:t>
      </w:r>
      <w:hyperlink w:history="1" r:id="rId0nk_vtn9p3lsiqx_wxxrv">
        <w:r>
          <w:rPr>
            <w:rStyle w:val="Hyperlink"/>
            <w:sz w:val="17"/>
            <w:szCs w:val="17"/>
          </w:rPr>
          <w:t xml:space="preserve">https://managers.tn/2025/03/10/voici-les-etapes-de-creation-dune-entreprise-communautaire-en-tunisie/</w:t>
        </w:r>
      </w:hyperlink>
    </w:p>
  </w:footnote>
  <w:footnote w:id="64">
    <w:p>
      <w:r>
        <w:rPr>
          <w:rStyle w:val="FootnoteReference"/>
        </w:rPr>
        <w:footnoteRef/>
      </w:r>
      <w:r>
        <w:rPr>
          <w:rFonts w:ascii="Calibri" w:cs="Calibri" w:eastAsia="Calibri" w:hAnsi="Calibri"/>
          <w:color w:val="5C6A6B"/>
          <w:sz w:val="17"/>
          <w:szCs w:val="17"/>
        </w:rPr>
        <w:t xml:space="preserve">Agence TAP, « Nouveaux avantages pour faciliter la création des sociétés communautaires » (décret-loi n° 2025-3 du 2 octobre 2025), 4 octobre 2025. </w:t>
      </w:r>
      <w:hyperlink w:history="1" r:id="rId1yhfkjsoyrrbxnro4in4u">
        <w:r>
          <w:rPr>
            <w:rStyle w:val="Hyperlink"/>
            <w:sz w:val="17"/>
            <w:szCs w:val="17"/>
          </w:rPr>
          <w:t xml:space="preserve">https://www.tap.info.tn/fr/Portail-%C3%A0-la-Une-FR-top/19294504-nouveaux-avantages</w:t>
        </w:r>
      </w:hyperlink>
    </w:p>
  </w:footnote>
  <w:footnote w:id="65">
    <w:p>
      <w:r>
        <w:rPr>
          <w:rStyle w:val="FootnoteReference"/>
        </w:rPr>
        <w:footnoteRef/>
      </w:r>
      <w:r>
        <w:rPr>
          <w:rFonts w:ascii="Calibri" w:cs="Calibri" w:eastAsia="Calibri" w:hAnsi="Calibri"/>
          <w:color w:val="5C6A6B"/>
          <w:sz w:val="17"/>
          <w:szCs w:val="17"/>
        </w:rPr>
        <w:t xml:space="preserve">Managers.tn, « Voici les étapes de création d’une entreprise communautaire en Tunisie », 10 mars 2025. </w:t>
      </w:r>
      <w:hyperlink w:history="1" r:id="rIdtlqoxvclelycyj8-0nbmq">
        <w:r>
          <w:rPr>
            <w:rStyle w:val="Hyperlink"/>
            <w:sz w:val="17"/>
            <w:szCs w:val="17"/>
          </w:rPr>
          <w:t xml:space="preserve">https://managers.tn/2025/03/10/voici-les-etapes-de-creation-dune-entreprise-communautaire-en-tunisie/</w:t>
        </w:r>
      </w:hyperlink>
    </w:p>
  </w:footnote>
  <w:footnote w:id="66">
    <w:p>
      <w:r>
        <w:rPr>
          <w:rStyle w:val="FootnoteReference"/>
        </w:rPr>
        <w:footnoteRef/>
      </w:r>
      <w:r>
        <w:rPr>
          <w:rFonts w:ascii="Calibri" w:cs="Calibri" w:eastAsia="Calibri" w:hAnsi="Calibri"/>
          <w:color w:val="5C6A6B"/>
          <w:sz w:val="17"/>
          <w:szCs w:val="17"/>
        </w:rPr>
        <w:t xml:space="preserve">Managers.tn, « Voici les étapes de création d’une entreprise communautaire en Tunisie », 10 mars 2025. </w:t>
      </w:r>
      <w:hyperlink w:history="1" r:id="rIdjhewnei-tb9ciwakiyhjk">
        <w:r>
          <w:rPr>
            <w:rStyle w:val="Hyperlink"/>
            <w:sz w:val="17"/>
            <w:szCs w:val="17"/>
          </w:rPr>
          <w:t xml:space="preserve">https://managers.tn/2025/03/10/voici-les-etapes-de-creation-dune-entreprise-communautaire-en-tunisie/</w:t>
        </w:r>
      </w:hyperlink>
    </w:p>
  </w:footnote>
  <w:footnote w:id="67">
    <w:p>
      <w:r>
        <w:rPr>
          <w:rStyle w:val="FootnoteReference"/>
        </w:rPr>
        <w:footnoteRef/>
      </w:r>
      <w:r>
        <w:rPr>
          <w:rFonts w:ascii="Calibri" w:cs="Calibri" w:eastAsia="Calibri" w:hAnsi="Calibri"/>
          <w:color w:val="5C6A6B"/>
          <w:sz w:val="17"/>
          <w:szCs w:val="17"/>
        </w:rPr>
        <w:t xml:space="preserve">La Presse de Tunisie, « Comment fonctionnent les sociétés communautaires et la répartition de leurs bénéfices », 9 mars 2026. </w:t>
      </w:r>
      <w:hyperlink w:history="1" r:id="rId-z8uyb3udra2nryxmzwlw">
        <w:r>
          <w:rPr>
            <w:rStyle w:val="Hyperlink"/>
            <w:sz w:val="17"/>
            <w:szCs w:val="17"/>
          </w:rPr>
          <w:t xml:space="preserve">https://www.lapresse.tn/2026/03/09/tunisie-comment-fonctionnent-les-societes-communautaires-et-la-repartition-de-leurs-benefices/</w:t>
        </w:r>
      </w:hyperlink>
    </w:p>
  </w:footnote>
  <w:footnote w:id="68">
    <w:p>
      <w:r>
        <w:rPr>
          <w:rStyle w:val="FootnoteReference"/>
        </w:rPr>
        <w:footnoteRef/>
      </w:r>
      <w:r>
        <w:rPr>
          <w:rFonts w:ascii="Calibri" w:cs="Calibri" w:eastAsia="Calibri" w:hAnsi="Calibri"/>
          <w:color w:val="5C6A6B"/>
          <w:sz w:val="17"/>
          <w:szCs w:val="17"/>
        </w:rPr>
        <w:t xml:space="preserve">Managers.tn, « Les nouveaux avantages des sociétés communautaires pour l’année 2025 », 6 janvier 2025. </w:t>
      </w:r>
      <w:hyperlink w:history="1" r:id="rIdgaa6m3asqgtmkm3zhavxh">
        <w:r>
          <w:rPr>
            <w:rStyle w:val="Hyperlink"/>
            <w:sz w:val="17"/>
            <w:szCs w:val="17"/>
          </w:rPr>
          <w:t xml:space="preserve">https://managers.tn/2025/01/06/les-nouveaux-avantages-des-societes-communautaires-pour-lannee-2025/</w:t>
        </w:r>
      </w:hyperlink>
    </w:p>
  </w:footnote>
  <w:footnote w:id="69">
    <w:p>
      <w:r>
        <w:rPr>
          <w:rStyle w:val="FootnoteReference"/>
        </w:rPr>
        <w:footnoteRef/>
      </w:r>
      <w:r>
        <w:rPr>
          <w:rFonts w:ascii="Calibri" w:cs="Calibri" w:eastAsia="Calibri" w:hAnsi="Calibri"/>
          <w:color w:val="5C6A6B"/>
          <w:sz w:val="17"/>
          <w:szCs w:val="17"/>
        </w:rPr>
        <w:t xml:space="preserve">La Presse de Tunisie, « Comment fonctionnent les sociétés communautaires et la répartition de leurs bénéfices », 9 mars 2026. </w:t>
      </w:r>
      <w:hyperlink w:history="1" r:id="rId5g41nzbmlluh_nijivrko">
        <w:r>
          <w:rPr>
            <w:rStyle w:val="Hyperlink"/>
            <w:sz w:val="17"/>
            <w:szCs w:val="17"/>
          </w:rPr>
          <w:t xml:space="preserve">https://www.lapresse.tn/2026/03/09/tunisie-comment-fonctionnent-les-societes-communautaires-et-la-repartition-de-leurs-benefices/</w:t>
        </w:r>
      </w:hyperlink>
    </w:p>
  </w:footnote>
  <w:footnote w:id="70">
    <w:p>
      <w:r>
        <w:rPr>
          <w:rStyle w:val="FootnoteReference"/>
        </w:rPr>
        <w:footnoteRef/>
      </w:r>
      <w:r>
        <w:rPr>
          <w:rFonts w:ascii="Calibri" w:cs="Calibri" w:eastAsia="Calibri" w:hAnsi="Calibri"/>
          <w:color w:val="5C6A6B"/>
          <w:sz w:val="17"/>
          <w:szCs w:val="17"/>
        </w:rPr>
        <w:t xml:space="preserve">Managers.tn, « Les nouveaux avantages des sociétés communautaires pour l’année 2025 », 6 janvier 2025. </w:t>
      </w:r>
      <w:hyperlink w:history="1" r:id="rIdyrgua7s7bikh_e_f3y3rw">
        <w:r>
          <w:rPr>
            <w:rStyle w:val="Hyperlink"/>
            <w:sz w:val="17"/>
            <w:szCs w:val="17"/>
          </w:rPr>
          <w:t xml:space="preserve">https://managers.tn/2025/01/06/les-nouveaux-avantages-des-societes-communautaires-pour-lannee-2025/</w:t>
        </w:r>
      </w:hyperlink>
    </w:p>
  </w:footnote>
  <w:footnote w:id="71">
    <w:p>
      <w:r>
        <w:rPr>
          <w:rStyle w:val="FootnoteReference"/>
        </w:rPr>
        <w:footnoteRef/>
      </w:r>
      <w:r>
        <w:rPr>
          <w:rFonts w:ascii="Calibri" w:cs="Calibri" w:eastAsia="Calibri" w:hAnsi="Calibri"/>
          <w:color w:val="5C6A6B"/>
          <w:sz w:val="17"/>
          <w:szCs w:val="17"/>
        </w:rPr>
        <w:t xml:space="preserve">Managers.tn, « Les nouveaux avantages des sociétés communautaires pour l’année 2025 », 6 janvier 2025. </w:t>
      </w:r>
      <w:hyperlink w:history="1" r:id="rIdtn8jy3x5a_kjepwq57yiv">
        <w:r>
          <w:rPr>
            <w:rStyle w:val="Hyperlink"/>
            <w:sz w:val="17"/>
            <w:szCs w:val="17"/>
          </w:rPr>
          <w:t xml:space="preserve">https://managers.tn/2025/01/06/les-nouveaux-avantages-des-societes-communautaires-pour-lannee-2025/</w:t>
        </w:r>
      </w:hyperlink>
    </w:p>
  </w:footnote>
  <w:footnote w:id="72">
    <w:p>
      <w:r>
        <w:rPr>
          <w:rStyle w:val="FootnoteReference"/>
        </w:rPr>
        <w:footnoteRef/>
      </w:r>
      <w:r>
        <w:rPr>
          <w:rFonts w:ascii="Calibri" w:cs="Calibri" w:eastAsia="Calibri" w:hAnsi="Calibri"/>
          <w:color w:val="5C6A6B"/>
          <w:sz w:val="17"/>
          <w:szCs w:val="17"/>
        </w:rPr>
        <w:t xml:space="preserve">Loi de finances pour l’année 2025, article 56 (suspension de TVA — article 13 septies du code de la TVA), Jurisite Tunisie. </w:t>
      </w:r>
      <w:hyperlink w:history="1" r:id="rIdlmsovfgdifoe1w53mr931">
        <w:r>
          <w:rPr>
            <w:rStyle w:val="Hyperlink"/>
            <w:sz w:val="17"/>
            <w:szCs w:val="17"/>
          </w:rPr>
          <w:t xml:space="preserve">https://www.jurisitetunisie.com/tunisie/codes/lf2025/loifinances2025-56_fr.html</w:t>
        </w:r>
      </w:hyperlink>
    </w:p>
  </w:footnote>
  <w:footnote w:id="73">
    <w:p>
      <w:r>
        <w:rPr>
          <w:rStyle w:val="FootnoteReference"/>
        </w:rPr>
        <w:footnoteRef/>
      </w:r>
      <w:r>
        <w:rPr>
          <w:rFonts w:ascii="Calibri" w:cs="Calibri" w:eastAsia="Calibri" w:hAnsi="Calibri"/>
          <w:color w:val="5C6A6B"/>
          <w:sz w:val="17"/>
          <w:szCs w:val="17"/>
        </w:rPr>
        <w:t xml:space="preserve">Loi de finances pour l’année 2025, article 56 (suspension de TVA — article 13 septies du code de la TVA), Jurisite Tunisie. </w:t>
      </w:r>
      <w:hyperlink w:history="1" r:id="rIdkwlzcsg5dtpzuoc4unx_t">
        <w:r>
          <w:rPr>
            <w:rStyle w:val="Hyperlink"/>
            <w:sz w:val="17"/>
            <w:szCs w:val="17"/>
          </w:rPr>
          <w:t xml:space="preserve">https://www.jurisitetunisie.com/tunisie/codes/lf2025/loifinances2025-56_fr.html</w:t>
        </w:r>
      </w:hyperlink>
    </w:p>
  </w:footnote>
  <w:footnote w:id="74">
    <w:p>
      <w:r>
        <w:rPr>
          <w:rStyle w:val="FootnoteReference"/>
        </w:rPr>
        <w:footnoteRef/>
      </w:r>
      <w:r>
        <w:rPr>
          <w:rFonts w:ascii="Calibri" w:cs="Calibri" w:eastAsia="Calibri" w:hAnsi="Calibri"/>
          <w:color w:val="5C6A6B"/>
          <w:sz w:val="17"/>
          <w:szCs w:val="17"/>
        </w:rPr>
        <w:t xml:space="preserve">La Presse de Tunisie, « Comment fonctionnent les sociétés communautaires et la répartition de leurs bénéfices », 9 mars 2026. </w:t>
      </w:r>
      <w:hyperlink w:history="1" r:id="rIdmt7qgbwfv_ouhiq3ysuw2">
        <w:r>
          <w:rPr>
            <w:rStyle w:val="Hyperlink"/>
            <w:sz w:val="17"/>
            <w:szCs w:val="17"/>
          </w:rPr>
          <w:t xml:space="preserve">https://www.lapresse.tn/2026/03/09/tunisie-comment-fonctionnent-les-societes-communautaires-et-la-repartition-de-leurs-benefices/</w:t>
        </w:r>
      </w:hyperlink>
    </w:p>
  </w:footnote>
  <w:footnote w:id="75">
    <w:p>
      <w:r>
        <w:rPr>
          <w:rStyle w:val="FootnoteReference"/>
        </w:rPr>
        <w:footnoteRef/>
      </w:r>
      <w:r>
        <w:rPr>
          <w:rFonts w:ascii="Calibri" w:cs="Calibri" w:eastAsia="Calibri" w:hAnsi="Calibri"/>
          <w:color w:val="5C6A6B"/>
          <w:sz w:val="17"/>
          <w:szCs w:val="17"/>
        </w:rPr>
        <w:t xml:space="preserve">La Presse de Tunisie, « Comment fonctionnent les sociétés communautaires et la répartition de leurs bénéfices », 9 mars 2026. </w:t>
      </w:r>
      <w:hyperlink w:history="1" r:id="rId2wnm_jjnp-gc3u88yqdqs">
        <w:r>
          <w:rPr>
            <w:rStyle w:val="Hyperlink"/>
            <w:sz w:val="17"/>
            <w:szCs w:val="17"/>
          </w:rPr>
          <w:t xml:space="preserve">https://www.lapresse.tn/2026/03/09/tunisie-comment-fonctionnent-les-societes-communautaires-et-la-repartition-de-leurs-benefices/</w:t>
        </w:r>
      </w:hyperlink>
    </w:p>
  </w:footnote>
  <w:footnote w:id="76">
    <w:p>
      <w:r>
        <w:rPr>
          <w:rStyle w:val="FootnoteReference"/>
        </w:rPr>
        <w:footnoteRef/>
      </w:r>
      <w:r>
        <w:rPr>
          <w:rFonts w:ascii="Calibri" w:cs="Calibri" w:eastAsia="Calibri" w:hAnsi="Calibri"/>
          <w:color w:val="5C6A6B"/>
          <w:sz w:val="17"/>
          <w:szCs w:val="17"/>
        </w:rPr>
        <w:t xml:space="preserve">La Presse de Tunisie, « Comment fonctionnent les sociétés communautaires et la répartition de leurs bénéfices », 9 mars 2026. </w:t>
      </w:r>
      <w:hyperlink w:history="1" r:id="rIdbezawyv84souuicuri8pj">
        <w:r>
          <w:rPr>
            <w:rStyle w:val="Hyperlink"/>
            <w:sz w:val="17"/>
            <w:szCs w:val="17"/>
          </w:rPr>
          <w:t xml:space="preserve">https://www.lapresse.tn/2026/03/09/tunisie-comment-fonctionnent-les-societes-communautaires-et-la-repartition-de-leurs-benefices/</w:t>
        </w:r>
      </w:hyperlink>
    </w:p>
  </w:footnote>
  <w:footnote w:id="77">
    <w:p>
      <w:r>
        <w:rPr>
          <w:rStyle w:val="FootnoteReference"/>
        </w:rPr>
        <w:footnoteRef/>
      </w:r>
      <w:r>
        <w:rPr>
          <w:rFonts w:ascii="Calibri" w:cs="Calibri" w:eastAsia="Calibri" w:hAnsi="Calibri"/>
          <w:color w:val="5C6A6B"/>
          <w:sz w:val="17"/>
          <w:szCs w:val="17"/>
        </w:rPr>
        <w:t xml:space="preserve">La Presse de Tunisie, « Comment fonctionnent les sociétés communautaires et la répartition de leurs bénéfices », 9 mars 2026. </w:t>
      </w:r>
      <w:hyperlink w:history="1" r:id="rIdys6v95_8cgayshvyrpjv6">
        <w:r>
          <w:rPr>
            <w:rStyle w:val="Hyperlink"/>
            <w:sz w:val="17"/>
            <w:szCs w:val="17"/>
          </w:rPr>
          <w:t xml:space="preserve">https://www.lapresse.tn/2026/03/09/tunisie-comment-fonctionnent-les-societes-communautaires-et-la-repartition-de-leurs-benefices/</w:t>
        </w:r>
      </w:hyperlink>
    </w:p>
  </w:footnote>
  <w:footnote w:id="78">
    <w:p>
      <w:r>
        <w:rPr>
          <w:rStyle w:val="FootnoteReference"/>
        </w:rPr>
        <w:footnoteRef/>
      </w:r>
      <w:r>
        <w:rPr>
          <w:rFonts w:ascii="Calibri" w:cs="Calibri" w:eastAsia="Calibri" w:hAnsi="Calibri"/>
          <w:color w:val="5C6A6B"/>
          <w:sz w:val="17"/>
          <w:szCs w:val="17"/>
        </w:rPr>
        <w:t xml:space="preserve">La Presse de Tunisie, « Comment fonctionnent les sociétés communautaires et la répartition de leurs bénéfices », 9 mars 2026. </w:t>
      </w:r>
      <w:hyperlink w:history="1" r:id="rId_bpz0fcoqfhnmz_qv7k5f">
        <w:r>
          <w:rPr>
            <w:rStyle w:val="Hyperlink"/>
            <w:sz w:val="17"/>
            <w:szCs w:val="17"/>
          </w:rPr>
          <w:t xml:space="preserve">https://www.lapresse.tn/2026/03/09/tunisie-comment-fonctionnent-les-societes-communautaires-et-la-repartition-de-leurs-benefices/</w:t>
        </w:r>
      </w:hyperlink>
    </w:p>
  </w:footnote>
  <w:footnote w:id="79">
    <w:p>
      <w:r>
        <w:rPr>
          <w:rStyle w:val="FootnoteReference"/>
        </w:rPr>
        <w:footnoteRef/>
      </w:r>
      <w:r>
        <w:rPr>
          <w:rFonts w:ascii="Calibri" w:cs="Calibri" w:eastAsia="Calibri" w:hAnsi="Calibri"/>
          <w:color w:val="5C6A6B"/>
          <w:sz w:val="17"/>
          <w:szCs w:val="17"/>
        </w:rPr>
        <w:t xml:space="preserve">La Presse de Tunisie, « Comment fonctionnent les sociétés communautaires et la répartition de leurs bénéfices », 9 mars 2026. </w:t>
      </w:r>
      <w:hyperlink w:history="1" r:id="rIdljpecn4wlh19jdttoc6fv">
        <w:r>
          <w:rPr>
            <w:rStyle w:val="Hyperlink"/>
            <w:sz w:val="17"/>
            <w:szCs w:val="17"/>
          </w:rPr>
          <w:t xml:space="preserve">https://www.lapresse.tn/2026/03/09/tunisie-comment-fonctionnent-les-societes-communautaires-et-la-repartition-de-leurs-benefices/</w:t>
        </w:r>
      </w:hyperlink>
    </w:p>
  </w:footnote>
  <w:footnote w:id="80">
    <w:p>
      <w:r>
        <w:rPr>
          <w:rStyle w:val="FootnoteReference"/>
        </w:rPr>
        <w:footnoteRef/>
      </w:r>
      <w:r>
        <w:rPr>
          <w:rFonts w:ascii="Calibri" w:cs="Calibri" w:eastAsia="Calibri" w:hAnsi="Calibri"/>
          <w:color w:val="5C6A6B"/>
          <w:sz w:val="17"/>
          <w:szCs w:val="17"/>
        </w:rPr>
        <w:t xml:space="preserve">La Presse de Tunisie, « Comment fonctionnent les sociétés communautaires et la répartition de leurs bénéfices », 9 mars 2026. </w:t>
      </w:r>
      <w:hyperlink w:history="1" r:id="rId_etbdbubu1kbssthrp-g3">
        <w:r>
          <w:rPr>
            <w:rStyle w:val="Hyperlink"/>
            <w:sz w:val="17"/>
            <w:szCs w:val="17"/>
          </w:rPr>
          <w:t xml:space="preserve">https://www.lapresse.tn/2026/03/09/tunisie-comment-fonctionnent-les-societes-communautaires-et-la-repartition-de-leurs-benefices/</w:t>
        </w:r>
      </w:hyperlink>
    </w:p>
  </w:footnote>
  <w:footnote w:id="81">
    <w:p>
      <w:r>
        <w:rPr>
          <w:rStyle w:val="FootnoteReference"/>
        </w:rPr>
        <w:footnoteRef/>
      </w:r>
      <w:r>
        <w:rPr>
          <w:rFonts w:ascii="Calibri" w:cs="Calibri" w:eastAsia="Calibri" w:hAnsi="Calibri"/>
          <w:color w:val="5C6A6B"/>
          <w:sz w:val="17"/>
          <w:szCs w:val="17"/>
        </w:rPr>
        <w:t xml:space="preserve">Swiver, « Qu’est-ce qu’une société communautaire (الشركة الأهلية) ? », 27 décembre 2024. </w:t>
      </w:r>
      <w:hyperlink w:history="1" r:id="rIdvaasymlqbemfqey9qde2t">
        <w:r>
          <w:rPr>
            <w:rStyle w:val="Hyperlink"/>
            <w:sz w:val="17"/>
            <w:szCs w:val="17"/>
          </w:rPr>
          <w:t xml:space="preserve">https://swiver.io/blog/societe-communautaire/</w:t>
        </w:r>
      </w:hyperlink>
    </w:p>
  </w:footnote>
  <w:footnote w:id="82">
    <w:p>
      <w:r>
        <w:rPr>
          <w:rStyle w:val="FootnoteReference"/>
        </w:rPr>
        <w:footnoteRef/>
      </w:r>
      <w:r>
        <w:rPr>
          <w:rFonts w:ascii="Calibri" w:cs="Calibri" w:eastAsia="Calibri" w:hAnsi="Calibri"/>
          <w:color w:val="5C6A6B"/>
          <w:sz w:val="17"/>
          <w:szCs w:val="17"/>
        </w:rPr>
        <w:t xml:space="preserve">La Presse de Tunisie, « Comment fonctionnent les sociétés communautaires et la répartition de leurs bénéfices », 9 mars 2026. </w:t>
      </w:r>
      <w:hyperlink w:history="1" r:id="rId1t4so5qet0q-hxnq9isxo">
        <w:r>
          <w:rPr>
            <w:rStyle w:val="Hyperlink"/>
            <w:sz w:val="17"/>
            <w:szCs w:val="17"/>
          </w:rPr>
          <w:t xml:space="preserve">https://www.lapresse.tn/2026/03/09/tunisie-comment-fonctionnent-les-societes-communautaires-et-la-repartition-de-leurs-benefices/</w:t>
        </w:r>
      </w:hyperlink>
    </w:p>
  </w:footnote>
  <w:footnote w:id="83">
    <w:p>
      <w:r>
        <w:rPr>
          <w:rStyle w:val="FootnoteReference"/>
        </w:rPr>
        <w:footnoteRef/>
      </w:r>
      <w:r>
        <w:rPr>
          <w:rFonts w:ascii="Calibri" w:cs="Calibri" w:eastAsia="Calibri" w:hAnsi="Calibri"/>
          <w:color w:val="5C6A6B"/>
          <w:sz w:val="17"/>
          <w:szCs w:val="17"/>
        </w:rPr>
        <w:t xml:space="preserve">Nawaat, « Sociétés communautaires en Tunisie : après les coopératives, la nouvelle panacée ? », 24 janvier 2025. </w:t>
      </w:r>
      <w:hyperlink w:history="1" r:id="rIdkafkxkmlnxbkhy94bbyxv">
        <w:r>
          <w:rPr>
            <w:rStyle w:val="Hyperlink"/>
            <w:sz w:val="17"/>
            <w:szCs w:val="17"/>
          </w:rPr>
          <w:t xml:space="preserve">https://nawaat.org/2025/01/24/societes-communautaires-en-tunisie-apres-les-cooperatives-la-nouvelle-panacee/</w:t>
        </w:r>
      </w:hyperlink>
    </w:p>
  </w:footnote>
  <w:footnote w:id="84">
    <w:p>
      <w:r>
        <w:rPr>
          <w:rStyle w:val="FootnoteReference"/>
        </w:rPr>
        <w:footnoteRef/>
      </w:r>
      <w:r>
        <w:rPr>
          <w:rFonts w:ascii="Calibri" w:cs="Calibri" w:eastAsia="Calibri" w:hAnsi="Calibri"/>
          <w:color w:val="5C6A6B"/>
          <w:sz w:val="17"/>
          <w:szCs w:val="17"/>
        </w:rPr>
        <w:t xml:space="preserve">Swiver, « Qu’est-ce qu’une société communautaire (الشركة الأهلية) ? », 27 décembre 2024. </w:t>
      </w:r>
      <w:hyperlink w:history="1" r:id="rIddweagcr-ggvykicdvtedv">
        <w:r>
          <w:rPr>
            <w:rStyle w:val="Hyperlink"/>
            <w:sz w:val="17"/>
            <w:szCs w:val="17"/>
          </w:rPr>
          <w:t xml:space="preserve">https://swiver.io/blog/societe-communautaire/</w:t>
        </w:r>
      </w:hyperlink>
    </w:p>
  </w:footnote>
  <w:footnote w:id="85">
    <w:p>
      <w:r>
        <w:rPr>
          <w:rStyle w:val="FootnoteReference"/>
        </w:rPr>
        <w:footnoteRef/>
      </w:r>
      <w:r>
        <w:rPr>
          <w:rFonts w:ascii="Calibri" w:cs="Calibri" w:eastAsia="Calibri" w:hAnsi="Calibri"/>
          <w:color w:val="5C6A6B"/>
          <w:sz w:val="17"/>
          <w:szCs w:val="17"/>
        </w:rPr>
        <w:t xml:space="preserve">Nawaat, « Sociétés communautaires en Tunisie : après les coopératives, la nouvelle panacée ? », 24 janvier 2025. </w:t>
      </w:r>
      <w:hyperlink w:history="1" r:id="rId0l2imds535nd7-coss6bd">
        <w:r>
          <w:rPr>
            <w:rStyle w:val="Hyperlink"/>
            <w:sz w:val="17"/>
            <w:szCs w:val="17"/>
          </w:rPr>
          <w:t xml:space="preserve">https://nawaat.org/2025/01/24/societes-communautaires-en-tunisie-apres-les-cooperatives-la-nouvelle-panacee/</w:t>
        </w:r>
      </w:hyperlink>
    </w:p>
  </w:footnote>
  <w:footnote w:id="86">
    <w:p>
      <w:r>
        <w:rPr>
          <w:rStyle w:val="FootnoteReference"/>
        </w:rPr>
        <w:footnoteRef/>
      </w:r>
      <w:r>
        <w:rPr>
          <w:rFonts w:ascii="Calibri" w:cs="Calibri" w:eastAsia="Calibri" w:hAnsi="Calibri"/>
          <w:color w:val="5C6A6B"/>
          <w:sz w:val="17"/>
          <w:szCs w:val="17"/>
        </w:rPr>
        <w:t xml:space="preserve">Inkyfada, « Les entreprises communautaires : au cœur du projet », 4 décembre 2024. </w:t>
      </w:r>
      <w:hyperlink w:history="1" r:id="rIdkhpmxfdsqfhxxi8yzjn8-">
        <w:r>
          <w:rPr>
            <w:rStyle w:val="Hyperlink"/>
            <w:sz w:val="17"/>
            <w:szCs w:val="17"/>
          </w:rPr>
          <w:t xml:space="preserve">https://inkyfada.com/fr/2024/12/04/entreprises-communautaires-tunisie/</w:t>
        </w:r>
      </w:hyperlink>
    </w:p>
  </w:footnote>
  <w:footnote w:id="87">
    <w:p>
      <w:r>
        <w:rPr>
          <w:rStyle w:val="FootnoteReference"/>
        </w:rPr>
        <w:footnoteRef/>
      </w:r>
      <w:r>
        <w:rPr>
          <w:rFonts w:ascii="Calibri" w:cs="Calibri" w:eastAsia="Calibri" w:hAnsi="Calibri"/>
          <w:color w:val="5C6A6B"/>
          <w:sz w:val="17"/>
          <w:szCs w:val="17"/>
        </w:rPr>
        <w:t xml:space="preserve">Nawaat, « Sociétés communautaires en Tunisie : après les coopératives, la nouvelle panacée ? », 24 janvier 2025. </w:t>
      </w:r>
      <w:hyperlink w:history="1" r:id="rIdylvetmlk9pbapyeawv8ge">
        <w:r>
          <w:rPr>
            <w:rStyle w:val="Hyperlink"/>
            <w:sz w:val="17"/>
            <w:szCs w:val="17"/>
          </w:rPr>
          <w:t xml:space="preserve">https://nawaat.org/2025/01/24/societes-communautaires-en-tunisie-apres-les-cooperatives-la-nouvelle-panacee/</w:t>
        </w:r>
      </w:hyperlink>
    </w:p>
  </w:footnote>
  <w:footnote w:id="88">
    <w:p>
      <w:r>
        <w:rPr>
          <w:rStyle w:val="FootnoteReference"/>
        </w:rPr>
        <w:footnoteRef/>
      </w:r>
      <w:r>
        <w:rPr>
          <w:rFonts w:ascii="Calibri" w:cs="Calibri" w:eastAsia="Calibri" w:hAnsi="Calibri"/>
          <w:color w:val="5C6A6B"/>
          <w:sz w:val="17"/>
          <w:szCs w:val="17"/>
        </w:rPr>
        <w:t xml:space="preserve">La Presse de Tunisie, « 160 sociétés communautaires créées, le secteur agricole en tête », 12 mars 2025. </w:t>
      </w:r>
      <w:hyperlink w:history="1" r:id="rIdobtb8bdhpr_tum_cty83y">
        <w:r>
          <w:rPr>
            <w:rStyle w:val="Hyperlink"/>
            <w:sz w:val="17"/>
            <w:szCs w:val="17"/>
          </w:rPr>
          <w:t xml:space="preserve">https://www.lapresse.tn/2025/03/12/tunisie-160-societes-communautaires-creees-le-secteur-agricole-en-tete/</w:t>
        </w:r>
      </w:hyperlink>
    </w:p>
  </w:footnote>
  <w:footnote w:id="89">
    <w:p>
      <w:r>
        <w:rPr>
          <w:rStyle w:val="FootnoteReference"/>
        </w:rPr>
        <w:footnoteRef/>
      </w:r>
      <w:r>
        <w:rPr>
          <w:rFonts w:ascii="Calibri" w:cs="Calibri" w:eastAsia="Calibri" w:hAnsi="Calibri"/>
          <w:color w:val="5C6A6B"/>
          <w:sz w:val="17"/>
          <w:szCs w:val="17"/>
        </w:rPr>
        <w:t xml:space="preserve">Ahli. — Observatoire des sociétés communautaires tunisiennes (tableau de bord, données 2023-2026). </w:t>
      </w:r>
      <w:hyperlink w:history="1" r:id="rIdxrnsavplwbz-bbhaf9ljj">
        <w:r>
          <w:rPr>
            <w:rStyle w:val="Hyperlink"/>
            <w:sz w:val="17"/>
            <w:szCs w:val="17"/>
          </w:rPr>
          <w:t xml:space="preserve">https://ahli.tn</w:t>
        </w:r>
      </w:hyperlink>
    </w:p>
  </w:footnote>
  <w:footnote w:id="90">
    <w:p>
      <w:r>
        <w:rPr>
          <w:rStyle w:val="FootnoteReference"/>
        </w:rPr>
        <w:footnoteRef/>
      </w:r>
      <w:r>
        <w:rPr>
          <w:rFonts w:ascii="Calibri" w:cs="Calibri" w:eastAsia="Calibri" w:hAnsi="Calibri"/>
          <w:color w:val="5C6A6B"/>
          <w:sz w:val="17"/>
          <w:szCs w:val="17"/>
        </w:rPr>
        <w:t xml:space="preserve">Ahli. — Observatoire des sociétés communautaires tunisiennes (tableau de bord, données 2023-2026). </w:t>
      </w:r>
      <w:hyperlink w:history="1" r:id="rIdkhjkc7p4ljinwopc63hxt">
        <w:r>
          <w:rPr>
            <w:rStyle w:val="Hyperlink"/>
            <w:sz w:val="17"/>
            <w:szCs w:val="17"/>
          </w:rPr>
          <w:t xml:space="preserve">https://ahli.tn</w:t>
        </w:r>
      </w:hyperlink>
    </w:p>
  </w:footnote>
  <w:footnote w:id="91">
    <w:p>
      <w:r>
        <w:rPr>
          <w:rStyle w:val="FootnoteReference"/>
        </w:rPr>
        <w:footnoteRef/>
      </w:r>
      <w:r>
        <w:rPr>
          <w:rFonts w:ascii="Calibri" w:cs="Calibri" w:eastAsia="Calibri" w:hAnsi="Calibri"/>
          <w:color w:val="5C6A6B"/>
          <w:sz w:val="17"/>
          <w:szCs w:val="17"/>
        </w:rPr>
        <w:t xml:space="preserve">Ahli. — Observatoire des sociétés communautaires tunisiennes (tableau de bord, données 2023-2026). </w:t>
      </w:r>
      <w:hyperlink w:history="1" r:id="rIdxpynfb5fqkcreppqqfghs">
        <w:r>
          <w:rPr>
            <w:rStyle w:val="Hyperlink"/>
            <w:sz w:val="17"/>
            <w:szCs w:val="17"/>
          </w:rPr>
          <w:t xml:space="preserve">https://ahli.tn</w:t>
        </w:r>
      </w:hyperlink>
    </w:p>
  </w:footnote>
  <w:footnote w:id="92">
    <w:p>
      <w:r>
        <w:rPr>
          <w:rStyle w:val="FootnoteReference"/>
        </w:rPr>
        <w:footnoteRef/>
      </w:r>
      <w:r>
        <w:rPr>
          <w:rFonts w:ascii="Calibri" w:cs="Calibri" w:eastAsia="Calibri" w:hAnsi="Calibri"/>
          <w:color w:val="5C6A6B"/>
          <w:sz w:val="17"/>
          <w:szCs w:val="17"/>
        </w:rPr>
        <w:t xml:space="preserve">La Presse de Tunisie, « 160 sociétés communautaires créées, le secteur agricole en tête », 12 mars 2025. </w:t>
      </w:r>
      <w:hyperlink w:history="1" r:id="rId1xbk88yd_qxffup6_4lnc">
        <w:r>
          <w:rPr>
            <w:rStyle w:val="Hyperlink"/>
            <w:sz w:val="17"/>
            <w:szCs w:val="17"/>
          </w:rPr>
          <w:t xml:space="preserve">https://www.lapresse.tn/2025/03/12/tunisie-160-societes-communautaires-creees-le-secteur-agricole-en-tete/</w:t>
        </w:r>
      </w:hyperlink>
    </w:p>
  </w:footnote>
  <w:footnote w:id="93">
    <w:p>
      <w:r>
        <w:rPr>
          <w:rStyle w:val="FootnoteReference"/>
        </w:rPr>
        <w:footnoteRef/>
      </w:r>
      <w:r>
        <w:rPr>
          <w:rFonts w:ascii="Calibri" w:cs="Calibri" w:eastAsia="Calibri" w:hAnsi="Calibri"/>
          <w:color w:val="5C6A6B"/>
          <w:sz w:val="17"/>
          <w:szCs w:val="17"/>
        </w:rPr>
        <w:t xml:space="preserve">Ahli. — Observatoire des sociétés communautaires tunisiennes (tableau de bord, données 2023-2026). </w:t>
      </w:r>
      <w:hyperlink w:history="1" r:id="rIdht5fqjvwof0xk1hrs29cs">
        <w:r>
          <w:rPr>
            <w:rStyle w:val="Hyperlink"/>
            <w:sz w:val="17"/>
            <w:szCs w:val="17"/>
          </w:rPr>
          <w:t xml:space="preserve">https://ahli.tn</w:t>
        </w:r>
      </w:hyperlink>
    </w:p>
  </w:footnote>
  <w:footnote w:id="94">
    <w:p>
      <w:r>
        <w:rPr>
          <w:rStyle w:val="FootnoteReference"/>
        </w:rPr>
        <w:footnoteRef/>
      </w:r>
      <w:r>
        <w:rPr>
          <w:rFonts w:ascii="Calibri" w:cs="Calibri" w:eastAsia="Calibri" w:hAnsi="Calibri"/>
          <w:color w:val="5C6A6B"/>
          <w:sz w:val="17"/>
          <w:szCs w:val="17"/>
        </w:rPr>
        <w:t xml:space="preserve">Ahli. — Observatoire des sociétés communautaires tunisiennes (tableau de bord, données 2023-2026). </w:t>
      </w:r>
      <w:hyperlink w:history="1" r:id="rIdhupazetbq4ahqyjb5vkqc">
        <w:r>
          <w:rPr>
            <w:rStyle w:val="Hyperlink"/>
            <w:sz w:val="17"/>
            <w:szCs w:val="17"/>
          </w:rPr>
          <w:t xml:space="preserve">https://ahli.tn</w:t>
        </w:r>
      </w:hyperlink>
    </w:p>
  </w:footnote>
  <w:footnote w:id="95">
    <w:p>
      <w:r>
        <w:rPr>
          <w:rStyle w:val="FootnoteReference"/>
        </w:rPr>
        <w:footnoteRef/>
      </w:r>
      <w:r>
        <w:rPr>
          <w:rFonts w:ascii="Calibri" w:cs="Calibri" w:eastAsia="Calibri" w:hAnsi="Calibri"/>
          <w:color w:val="5C6A6B"/>
          <w:sz w:val="17"/>
          <w:szCs w:val="17"/>
        </w:rPr>
        <w:t xml:space="preserve">Ahli. — Observatoire des sociétés communautaires tunisiennes (tableau de bord, données 2023-2026). </w:t>
      </w:r>
      <w:hyperlink w:history="1" r:id="rIdw-hrtoepphzu20j2mdr51">
        <w:r>
          <w:rPr>
            <w:rStyle w:val="Hyperlink"/>
            <w:sz w:val="17"/>
            <w:szCs w:val="17"/>
          </w:rPr>
          <w:t xml:space="preserve">https://ahli.tn</w:t>
        </w:r>
      </w:hyperlink>
    </w:p>
  </w:footnote>
  <w:footnote w:id="96">
    <w:p>
      <w:r>
        <w:rPr>
          <w:rStyle w:val="FootnoteReference"/>
        </w:rPr>
        <w:footnoteRef/>
      </w:r>
      <w:r>
        <w:rPr>
          <w:rFonts w:ascii="Calibri" w:cs="Calibri" w:eastAsia="Calibri" w:hAnsi="Calibri"/>
          <w:color w:val="5C6A6B"/>
          <w:sz w:val="17"/>
          <w:szCs w:val="17"/>
        </w:rPr>
        <w:t xml:space="preserve">Ahli. — Observatoire des sociétés communautaires tunisiennes (tableau de bord, données 2023-2026). </w:t>
      </w:r>
      <w:hyperlink w:history="1" r:id="rIdk67g5uzuxotodrkejbgvf">
        <w:r>
          <w:rPr>
            <w:rStyle w:val="Hyperlink"/>
            <w:sz w:val="17"/>
            <w:szCs w:val="17"/>
          </w:rPr>
          <w:t xml:space="preserve">https://ahli.tn</w:t>
        </w:r>
      </w:hyperlink>
    </w:p>
  </w:footnote>
  <w:footnote w:id="97">
    <w:p>
      <w:r>
        <w:rPr>
          <w:rStyle w:val="FootnoteReference"/>
        </w:rPr>
        <w:footnoteRef/>
      </w:r>
      <w:r>
        <w:rPr>
          <w:rFonts w:ascii="Calibri" w:cs="Calibri" w:eastAsia="Calibri" w:hAnsi="Calibri"/>
          <w:color w:val="5C6A6B"/>
          <w:sz w:val="17"/>
          <w:szCs w:val="17"/>
        </w:rPr>
        <w:t xml:space="preserve">Inkyfada, « Les entreprises communautaires : au cœur du projet », 4 décembre 2024. </w:t>
      </w:r>
      <w:hyperlink w:history="1" r:id="rIdehzkozyq2xdc_t7mhwpek">
        <w:r>
          <w:rPr>
            <w:rStyle w:val="Hyperlink"/>
            <w:sz w:val="17"/>
            <w:szCs w:val="17"/>
          </w:rPr>
          <w:t xml:space="preserve">https://inkyfada.com/fr/2024/12/04/entreprises-communautaires-tunisie/</w:t>
        </w:r>
      </w:hyperlink>
    </w:p>
  </w:footnote>
  <w:footnote w:id="98">
    <w:p>
      <w:r>
        <w:rPr>
          <w:rStyle w:val="FootnoteReference"/>
        </w:rPr>
        <w:footnoteRef/>
      </w:r>
      <w:r>
        <w:rPr>
          <w:rFonts w:ascii="Calibri" w:cs="Calibri" w:eastAsia="Calibri" w:hAnsi="Calibri"/>
          <w:color w:val="5C6A6B"/>
          <w:sz w:val="17"/>
          <w:szCs w:val="17"/>
        </w:rPr>
        <w:t xml:space="preserve">L’Économiste Maghrébin, « L’ONE met en lumière les défis des sociétés communautaires », 31 octobre 2024. </w:t>
      </w:r>
      <w:hyperlink w:history="1" r:id="rIdrucms6wz9ov7rpykweqvw">
        <w:r>
          <w:rPr>
            <w:rStyle w:val="Hyperlink"/>
            <w:sz w:val="17"/>
            <w:szCs w:val="17"/>
          </w:rPr>
          <w:t xml:space="preserve">https://www.leconomistemaghrebin.com/2024/10/31/lone-met-lumiere-defis-opportunites-societes-communautaires/</w:t>
        </w:r>
      </w:hyperlink>
    </w:p>
  </w:footnote>
  <w:footnote w:id="99">
    <w:p>
      <w:r>
        <w:rPr>
          <w:rStyle w:val="FootnoteReference"/>
        </w:rPr>
        <w:footnoteRef/>
      </w:r>
      <w:r>
        <w:rPr>
          <w:rFonts w:ascii="Calibri" w:cs="Calibri" w:eastAsia="Calibri" w:hAnsi="Calibri"/>
          <w:color w:val="5C6A6B"/>
          <w:sz w:val="17"/>
          <w:szCs w:val="17"/>
        </w:rPr>
        <w:t xml:space="preserve">Managers.tn, « Voici les étapes de création d’une entreprise communautaire en Tunisie », 10 mars 2025. </w:t>
      </w:r>
      <w:hyperlink w:history="1" r:id="rIdqlr9q2oc_tda6wizfesfy">
        <w:r>
          <w:rPr>
            <w:rStyle w:val="Hyperlink"/>
            <w:sz w:val="17"/>
            <w:szCs w:val="17"/>
          </w:rPr>
          <w:t xml:space="preserve">https://managers.tn/2025/03/10/voici-les-etapes-de-creation-dune-entreprise-communautaire-en-tunisie/</w:t>
        </w:r>
      </w:hyperlink>
    </w:p>
  </w:footnote>
  <w:footnote w:id="100">
    <w:p>
      <w:r>
        <w:rPr>
          <w:rStyle w:val="FootnoteReference"/>
        </w:rPr>
        <w:footnoteRef/>
      </w:r>
      <w:r>
        <w:rPr>
          <w:rFonts w:ascii="Calibri" w:cs="Calibri" w:eastAsia="Calibri" w:hAnsi="Calibri"/>
          <w:color w:val="5C6A6B"/>
          <w:sz w:val="17"/>
          <w:szCs w:val="17"/>
        </w:rPr>
        <w:t xml:space="preserve">Agence TAP, « Nouveaux avantages pour faciliter la création des sociétés communautaires » (décret-loi n° 2025-3 du 2 octobre 2025), 4 octobre 2025. </w:t>
      </w:r>
      <w:hyperlink w:history="1" r:id="rIdn44yzzvnjsik3yfvns_cw">
        <w:r>
          <w:rPr>
            <w:rStyle w:val="Hyperlink"/>
            <w:sz w:val="17"/>
            <w:szCs w:val="17"/>
          </w:rPr>
          <w:t xml:space="preserve">https://www.tap.info.tn/fr/Portail-%C3%A0-la-Une-FR-top/19294504-nouveaux-avantages</w:t>
        </w:r>
      </w:hyperlink>
    </w:p>
  </w:footnote>
  <w:footnote w:id="101">
    <w:p>
      <w:r>
        <w:rPr>
          <w:rStyle w:val="FootnoteReference"/>
        </w:rPr>
        <w:footnoteRef/>
      </w:r>
      <w:r>
        <w:rPr>
          <w:rFonts w:ascii="Calibri" w:cs="Calibri" w:eastAsia="Calibri" w:hAnsi="Calibri"/>
          <w:color w:val="5C6A6B"/>
          <w:sz w:val="17"/>
          <w:szCs w:val="17"/>
        </w:rPr>
        <w:t xml:space="preserve">Swiver, « Qu’est-ce qu’une société communautaire (الشركة الأهلية) ? », 27 décembre 2024. </w:t>
      </w:r>
      <w:hyperlink w:history="1" r:id="rId5f3wuox6p5gjdvuxcs9q1">
        <w:r>
          <w:rPr>
            <w:rStyle w:val="Hyperlink"/>
            <w:sz w:val="17"/>
            <w:szCs w:val="17"/>
          </w:rPr>
          <w:t xml:space="preserve">https://swiver.io/blog/societe-communautaire/</w:t>
        </w:r>
      </w:hyperlink>
    </w:p>
  </w:footnote>
  <w:footnote w:id="102">
    <w:p>
      <w:r>
        <w:rPr>
          <w:rStyle w:val="FootnoteReference"/>
        </w:rPr>
        <w:footnoteRef/>
      </w:r>
      <w:r>
        <w:rPr>
          <w:rFonts w:ascii="Calibri" w:cs="Calibri" w:eastAsia="Calibri" w:hAnsi="Calibri"/>
          <w:color w:val="5C6A6B"/>
          <w:sz w:val="17"/>
          <w:szCs w:val="17"/>
        </w:rPr>
        <w:t xml:space="preserve">Swiver, « Qu’est-ce qu’une société communautaire (الشركة الأهلية) ? », 27 décembre 2024. </w:t>
      </w:r>
      <w:hyperlink w:history="1" r:id="rIdoecnlzjvng9yzmh4ftzvi">
        <w:r>
          <w:rPr>
            <w:rStyle w:val="Hyperlink"/>
            <w:sz w:val="17"/>
            <w:szCs w:val="17"/>
          </w:rPr>
          <w:t xml:space="preserve">https://swiver.io/blog/societe-communautaire/</w:t>
        </w:r>
      </w:hyperlink>
    </w:p>
  </w:footnote>
  <w:footnote w:id="103">
    <w:p>
      <w:r>
        <w:rPr>
          <w:rStyle w:val="FootnoteReference"/>
        </w:rPr>
        <w:footnoteRef/>
      </w:r>
      <w:r>
        <w:rPr>
          <w:rFonts w:ascii="Calibri" w:cs="Calibri" w:eastAsia="Calibri" w:hAnsi="Calibri"/>
          <w:color w:val="5C6A6B"/>
          <w:sz w:val="17"/>
          <w:szCs w:val="17"/>
        </w:rPr>
        <w:t xml:space="preserve">Agence TAP, « Nouveaux avantages pour faciliter la création des sociétés communautaires » (décret-loi n° 2025-3 du 2 octobre 2025), 4 octobre 2025. </w:t>
      </w:r>
      <w:hyperlink w:history="1" r:id="rId6v5mmbg9d3uwt1rs9klg6">
        <w:r>
          <w:rPr>
            <w:rStyle w:val="Hyperlink"/>
            <w:sz w:val="17"/>
            <w:szCs w:val="17"/>
          </w:rPr>
          <w:t xml:space="preserve">https://www.tap.info.tn/fr/Portail-%C3%A0-la-Une-FR-top/19294504-nouveaux-avantages</w:t>
        </w:r>
      </w:hyperlink>
    </w:p>
  </w:footnote>
  <w:footnote w:id="104">
    <w:p>
      <w:r>
        <w:rPr>
          <w:rStyle w:val="FootnoteReference"/>
        </w:rPr>
        <w:footnoteRef/>
      </w:r>
      <w:r>
        <w:rPr>
          <w:rFonts w:ascii="Calibri" w:cs="Calibri" w:eastAsia="Calibri" w:hAnsi="Calibri"/>
          <w:color w:val="5C6A6B"/>
          <w:sz w:val="17"/>
          <w:szCs w:val="17"/>
        </w:rPr>
        <w:t xml:space="preserve">Agence TAP, « Nouveaux avantages pour faciliter la création des sociétés communautaires » (décret-loi n° 2025-3 du 2 octobre 2025), 4 octobre 2025. </w:t>
      </w:r>
      <w:hyperlink w:history="1" r:id="rId9pa56lhqyaqbz5boev4fg">
        <w:r>
          <w:rPr>
            <w:rStyle w:val="Hyperlink"/>
            <w:sz w:val="17"/>
            <w:szCs w:val="17"/>
          </w:rPr>
          <w:t xml:space="preserve">https://www.tap.info.tn/fr/Portail-%C3%A0-la-Une-FR-top/19294504-nouveaux-avantages</w:t>
        </w:r>
      </w:hyperlink>
    </w:p>
  </w:footnote>
  <w:footnote w:id="105">
    <w:p>
      <w:r>
        <w:rPr>
          <w:rStyle w:val="FootnoteReference"/>
        </w:rPr>
        <w:footnoteRef/>
      </w:r>
      <w:r>
        <w:rPr>
          <w:rFonts w:ascii="Calibri" w:cs="Calibri" w:eastAsia="Calibri" w:hAnsi="Calibri"/>
          <w:color w:val="5C6A6B"/>
          <w:sz w:val="17"/>
          <w:szCs w:val="17"/>
        </w:rPr>
        <w:t xml:space="preserve">Agence TAP, « Nouveaux avantages pour faciliter la création des sociétés communautaires » (décret-loi n° 2025-3 du 2 octobre 2025), 4 octobre 2025. </w:t>
      </w:r>
      <w:hyperlink w:history="1" r:id="rIdetrgbczb71pvg2-fxrifi">
        <w:r>
          <w:rPr>
            <w:rStyle w:val="Hyperlink"/>
            <w:sz w:val="17"/>
            <w:szCs w:val="17"/>
          </w:rPr>
          <w:t xml:space="preserve">https://www.tap.info.tn/fr/Portail-%C3%A0-la-Une-FR-top/19294504-nouveaux-avantages</w:t>
        </w:r>
      </w:hyperlink>
    </w:p>
  </w:footnote>
  <w:footnote w:id="106">
    <w:p>
      <w:r>
        <w:rPr>
          <w:rStyle w:val="FootnoteReference"/>
        </w:rPr>
        <w:footnoteRef/>
      </w:r>
      <w:r>
        <w:rPr>
          <w:rFonts w:ascii="Calibri" w:cs="Calibri" w:eastAsia="Calibri" w:hAnsi="Calibri"/>
          <w:color w:val="5C6A6B"/>
          <w:sz w:val="17"/>
          <w:szCs w:val="17"/>
        </w:rPr>
        <w:t xml:space="preserve">Décret-loi n° 2022-15 du 20 mars 2022 relatif aux sociétés communautaires (texte intégral, JORT). </w:t>
      </w:r>
      <w:hyperlink w:history="1" r:id="rIdksc1gvyzwagf3tsyb3o_1">
        <w:r>
          <w:rPr>
            <w:rStyle w:val="Hyperlink"/>
            <w:sz w:val="17"/>
            <w:szCs w:val="17"/>
          </w:rPr>
          <w:t xml:space="preserve">https://faolex.fao.org/docs/pdf/tun226392.pdf</w:t>
        </w:r>
      </w:hyperlink>
    </w:p>
  </w:footnote>
  <w:footnote w:id="107">
    <w:p>
      <w:r>
        <w:rPr>
          <w:rStyle w:val="FootnoteReference"/>
        </w:rPr>
        <w:footnoteRef/>
      </w:r>
      <w:r>
        <w:rPr>
          <w:rFonts w:ascii="Calibri" w:cs="Calibri" w:eastAsia="Calibri" w:hAnsi="Calibri"/>
          <w:color w:val="5C6A6B"/>
          <w:sz w:val="17"/>
          <w:szCs w:val="17"/>
        </w:rPr>
        <w:t xml:space="preserve">Agence TAP, « Nouveaux avantages pour faciliter la création des sociétés communautaires » (décret-loi n° 2025-3 du 2 octobre 2025), 4 octobre 2025. </w:t>
      </w:r>
      <w:hyperlink w:history="1" r:id="rId7xsvfmwdaolm_lkz4cihl">
        <w:r>
          <w:rPr>
            <w:rStyle w:val="Hyperlink"/>
            <w:sz w:val="17"/>
            <w:szCs w:val="17"/>
          </w:rPr>
          <w:t xml:space="preserve">https://www.tap.info.tn/fr/Portail-%C3%A0-la-Une-FR-top/19294504-nouveaux-avantages</w:t>
        </w:r>
      </w:hyperlink>
    </w:p>
  </w:footnote>
  <w:footnote w:id="108">
    <w:p>
      <w:r>
        <w:rPr>
          <w:rStyle w:val="FootnoteReference"/>
        </w:rPr>
        <w:footnoteRef/>
      </w:r>
      <w:r>
        <w:rPr>
          <w:rFonts w:ascii="Calibri" w:cs="Calibri" w:eastAsia="Calibri" w:hAnsi="Calibri"/>
          <w:color w:val="5C6A6B"/>
          <w:sz w:val="17"/>
          <w:szCs w:val="17"/>
        </w:rPr>
        <w:t xml:space="preserve">Décret-loi n° 2022-15 du 20 mars 2022 relatif aux sociétés communautaires (texte intégral, JORT). </w:t>
      </w:r>
      <w:hyperlink w:history="1" r:id="rIdvhhclatydmcxx426myuwi">
        <w:r>
          <w:rPr>
            <w:rStyle w:val="Hyperlink"/>
            <w:sz w:val="17"/>
            <w:szCs w:val="17"/>
          </w:rPr>
          <w:t xml:space="preserve">https://faolex.fao.org/docs/pdf/tun226392.pdf</w:t>
        </w:r>
      </w:hyperlink>
    </w:p>
  </w:footnote>
  <w:footnote w:id="109">
    <w:p>
      <w:r>
        <w:rPr>
          <w:rStyle w:val="FootnoteReference"/>
        </w:rPr>
        <w:footnoteRef/>
      </w:r>
      <w:r>
        <w:rPr>
          <w:rFonts w:ascii="Calibri" w:cs="Calibri" w:eastAsia="Calibri" w:hAnsi="Calibri"/>
          <w:color w:val="5C6A6B"/>
          <w:sz w:val="17"/>
          <w:szCs w:val="17"/>
        </w:rPr>
        <w:t xml:space="preserve">Swiver, « Qu’est-ce qu’une société communautaire (الشركة الأهلية) ? », 27 décembre 2024. </w:t>
      </w:r>
      <w:hyperlink w:history="1" r:id="rIdxms_y1kmtdvrc9krgdpy7">
        <w:r>
          <w:rPr>
            <w:rStyle w:val="Hyperlink"/>
            <w:sz w:val="17"/>
            <w:szCs w:val="17"/>
          </w:rPr>
          <w:t xml:space="preserve">https://swiver.io/blog/societe-communautaire/</w:t>
        </w:r>
      </w:hyperlink>
    </w:p>
  </w:footnote>
  <w:footnote w:id="110">
    <w:p>
      <w:r>
        <w:rPr>
          <w:rStyle w:val="FootnoteReference"/>
        </w:rPr>
        <w:footnoteRef/>
      </w:r>
      <w:r>
        <w:rPr>
          <w:rFonts w:ascii="Calibri" w:cs="Calibri" w:eastAsia="Calibri" w:hAnsi="Calibri"/>
          <w:color w:val="5C6A6B"/>
          <w:sz w:val="17"/>
          <w:szCs w:val="17"/>
        </w:rPr>
        <w:t xml:space="preserve">La Presse de Tunisie, « Comment fonctionnent les sociétés communautaires et la répartition de leurs bénéfices », 9 mars 2026. </w:t>
      </w:r>
      <w:hyperlink w:history="1" r:id="rIdthvhf0eklq3uwsgfkdxfh">
        <w:r>
          <w:rPr>
            <w:rStyle w:val="Hyperlink"/>
            <w:sz w:val="17"/>
            <w:szCs w:val="17"/>
          </w:rPr>
          <w:t xml:space="preserve">https://www.lapresse.tn/2026/03/09/tunisie-comment-fonctionnent-les-societes-communautaires-et-la-repartition-de-leurs-benefices/</w:t>
        </w:r>
      </w:hyperlink>
    </w:p>
  </w:footnote>
  <w:footnote w:id="111">
    <w:p>
      <w:r>
        <w:rPr>
          <w:rStyle w:val="FootnoteReference"/>
        </w:rPr>
        <w:footnoteRef/>
      </w:r>
      <w:r>
        <w:rPr>
          <w:rFonts w:ascii="Calibri" w:cs="Calibri" w:eastAsia="Calibri" w:hAnsi="Calibri"/>
          <w:color w:val="5C6A6B"/>
          <w:sz w:val="17"/>
          <w:szCs w:val="17"/>
        </w:rPr>
        <w:t xml:space="preserve">La Presse de Tunisie, « Comment fonctionnent les sociétés communautaires et la répartition de leurs bénéfices », 9 mars 2026. </w:t>
      </w:r>
      <w:hyperlink w:history="1" r:id="rId1awrhwhezxb8h1gcznulq">
        <w:r>
          <w:rPr>
            <w:rStyle w:val="Hyperlink"/>
            <w:sz w:val="17"/>
            <w:szCs w:val="17"/>
          </w:rPr>
          <w:t xml:space="preserve">https://www.lapresse.tn/2026/03/09/tunisie-comment-fonctionnent-les-societes-communautaires-et-la-repartition-de-leurs-benefices/</w:t>
        </w:r>
      </w:hyperlink>
    </w:p>
  </w:footnote>
  <w:footnote w:id="112">
    <w:p>
      <w:r>
        <w:rPr>
          <w:rStyle w:val="FootnoteReference"/>
        </w:rPr>
        <w:footnoteRef/>
      </w:r>
      <w:r>
        <w:rPr>
          <w:rFonts w:ascii="Calibri" w:cs="Calibri" w:eastAsia="Calibri" w:hAnsi="Calibri"/>
          <w:color w:val="5C6A6B"/>
          <w:sz w:val="17"/>
          <w:szCs w:val="17"/>
        </w:rPr>
        <w:t xml:space="preserve">Managers.tn, « Les nouveaux avantages des sociétés communautaires pour l’année 2025 », 6 janvier 2025. </w:t>
      </w:r>
      <w:hyperlink w:history="1" r:id="rIdk_pnb4qsvx7emeq5bmv8g">
        <w:r>
          <w:rPr>
            <w:rStyle w:val="Hyperlink"/>
            <w:sz w:val="17"/>
            <w:szCs w:val="17"/>
          </w:rPr>
          <w:t xml:space="preserve">https://managers.tn/2025/01/06/les-nouveaux-avantages-des-societes-communautaires-pour-lannee-2025/</w:t>
        </w:r>
      </w:hyperlink>
    </w:p>
  </w:footnote>
  <w:footnote w:id="113">
    <w:p>
      <w:r>
        <w:rPr>
          <w:rStyle w:val="FootnoteReference"/>
        </w:rPr>
        <w:footnoteRef/>
      </w:r>
      <w:r>
        <w:rPr>
          <w:rFonts w:ascii="Calibri" w:cs="Calibri" w:eastAsia="Calibri" w:hAnsi="Calibri"/>
          <w:color w:val="5C6A6B"/>
          <w:sz w:val="17"/>
          <w:szCs w:val="17"/>
        </w:rPr>
        <w:t xml:space="preserve">Loi de finances pour l’année 2025, article 56 (suspension de TVA — article 13 septies du code de la TVA), Jurisite Tunisie. </w:t>
      </w:r>
      <w:hyperlink w:history="1" r:id="rId5f96-1qkkoyiqmqsl4z18">
        <w:r>
          <w:rPr>
            <w:rStyle w:val="Hyperlink"/>
            <w:sz w:val="17"/>
            <w:szCs w:val="17"/>
          </w:rPr>
          <w:t xml:space="preserve">https://www.jurisitetunisie.com/tunisie/codes/lf2025/loifinances2025-56_fr.html</w:t>
        </w:r>
      </w:hyperlink>
    </w:p>
  </w:footnote>
  <w:footnote w:id="114">
    <w:p>
      <w:r>
        <w:rPr>
          <w:rStyle w:val="FootnoteReference"/>
        </w:rPr>
        <w:footnoteRef/>
      </w:r>
      <w:r>
        <w:rPr>
          <w:rFonts w:ascii="Calibri" w:cs="Calibri" w:eastAsia="Calibri" w:hAnsi="Calibri"/>
          <w:color w:val="5C6A6B"/>
          <w:sz w:val="17"/>
          <w:szCs w:val="17"/>
        </w:rPr>
        <w:t xml:space="preserve">Décret-loi n° 2022-15 du 20 mars 2022 relatif aux sociétés communautaires (texte intégral, JORT). </w:t>
      </w:r>
      <w:hyperlink w:history="1" r:id="rIddzgqnfj0iymzem-h8x60s">
        <w:r>
          <w:rPr>
            <w:rStyle w:val="Hyperlink"/>
            <w:sz w:val="17"/>
            <w:szCs w:val="17"/>
          </w:rPr>
          <w:t xml:space="preserve">https://faolex.fao.org/docs/pdf/tun226392.pdf</w:t>
        </w:r>
      </w:hyperlink>
    </w:p>
  </w:footnote>
  <w:footnote w:id="115">
    <w:p>
      <w:r>
        <w:rPr>
          <w:rStyle w:val="FootnoteReference"/>
        </w:rPr>
        <w:footnoteRef/>
      </w:r>
      <w:r>
        <w:rPr>
          <w:rFonts w:ascii="Calibri" w:cs="Calibri" w:eastAsia="Calibri" w:hAnsi="Calibri"/>
          <w:color w:val="5C6A6B"/>
          <w:sz w:val="17"/>
          <w:szCs w:val="17"/>
        </w:rPr>
        <w:t xml:space="preserve">Agence TAP, « Nouveaux avantages pour faciliter la création des sociétés communautaires » (décret-loi n° 2025-3 du 2 octobre 2025), 4 octobre 2025. </w:t>
      </w:r>
      <w:hyperlink w:history="1" r:id="rIdeok-act8ua1lkkf46mtqg">
        <w:r>
          <w:rPr>
            <w:rStyle w:val="Hyperlink"/>
            <w:sz w:val="17"/>
            <w:szCs w:val="17"/>
          </w:rPr>
          <w:t xml:space="preserve">https://www.tap.info.tn/fr/Portail-%C3%A0-la-Une-FR-top/19294504-nouveaux-avantages</w:t>
        </w:r>
      </w:hyperlink>
    </w:p>
  </w:footnote>
  <w:footnote w:id="116">
    <w:p>
      <w:r>
        <w:rPr>
          <w:rStyle w:val="FootnoteReference"/>
        </w:rPr>
        <w:footnoteRef/>
      </w:r>
      <w:r>
        <w:rPr>
          <w:rFonts w:ascii="Calibri" w:cs="Calibri" w:eastAsia="Calibri" w:hAnsi="Calibri"/>
          <w:color w:val="5C6A6B"/>
          <w:sz w:val="17"/>
          <w:szCs w:val="17"/>
        </w:rPr>
        <w:t xml:space="preserve">Agence TAP, « Nouveaux avantages pour faciliter la création des sociétés communautaires » (décret-loi n° 2025-3 du 2 octobre 2025), 4 octobre 2025. </w:t>
      </w:r>
      <w:hyperlink w:history="1" r:id="rIdfbpwxvoeit9ivtnrijcdn">
        <w:r>
          <w:rPr>
            <w:rStyle w:val="Hyperlink"/>
            <w:sz w:val="17"/>
            <w:szCs w:val="17"/>
          </w:rPr>
          <w:t xml:space="preserve">https://www.tap.info.tn/fr/Portail-%C3%A0-la-Une-FR-top/19294504-nouveaux-avantages</w:t>
        </w:r>
      </w:hyperlink>
    </w:p>
  </w:footnote>
  <w:footnote w:id="117">
    <w:p>
      <w:r>
        <w:rPr>
          <w:rStyle w:val="FootnoteReference"/>
        </w:rPr>
        <w:footnoteRef/>
      </w:r>
      <w:r>
        <w:rPr>
          <w:rFonts w:ascii="Calibri" w:cs="Calibri" w:eastAsia="Calibri" w:hAnsi="Calibri"/>
          <w:color w:val="5C6A6B"/>
          <w:sz w:val="17"/>
          <w:szCs w:val="17"/>
        </w:rPr>
        <w:t xml:space="preserve">La Presse de Tunisie, « 160 sociétés communautaires créées, le secteur agricole en tête », 12 mars 2025. </w:t>
      </w:r>
      <w:hyperlink w:history="1" r:id="rIdeu6pyfllxvpe9f9ntcyng">
        <w:r>
          <w:rPr>
            <w:rStyle w:val="Hyperlink"/>
            <w:sz w:val="17"/>
            <w:szCs w:val="17"/>
          </w:rPr>
          <w:t xml:space="preserve">https://www.lapresse.tn/2025/03/12/tunisie-160-societes-communautaires-creees-le-secteur-agricole-en-tete/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4DCDC" w:sz="4" w:space="4"/>
      </w:pBdr>
      <w:jc w:val="right"/>
    </w:pPr>
    <w:r>
      <w:rPr>
        <w:rFonts w:ascii="Calibri" w:cs="Calibri" w:eastAsia="Calibri" w:hAnsi="Calibri"/>
        <w:i/>
        <w:iCs/>
        <w:color w:val="9AA7A7"/>
        <w:sz w:val="16"/>
        <w:szCs w:val="16"/>
      </w:rPr>
      <w:t xml:space="preserve">Les sociétés communautaires en Tunisie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rPr>
        <w:color w:val="01696F"/>
      </w:rPr>
    </w:lvl>
    <w:lvl w:ilvl="1" w15:tentative="1">
      <w:start w:val="1"/>
      <w:numFmt w:val="bullet"/>
      <w:lvlText w:val="–"/>
      <w:lvlJc w:val="left"/>
      <w:pPr>
        <w:ind w:left="920" w:hanging="260"/>
      </w:pPr>
    </w:lvl>
  </w:abstractNum>
  <w:abstractNum w:abstractNumId="3" w15:restartNumberingAfterBreak="0">
    <w:multiLevelType w:val="hybridMultilevel"/>
    <w:lvl w:ilvl="0" w15:tentative="1">
      <w:start w:val="1"/>
      <w:numFmt w:val="decimal"/>
      <w:lvlText w:val="%1."/>
      <w:lvlJc w:val="left"/>
      <w:pPr>
        <w:ind w:left="460" w:hanging="360"/>
      </w:pPr>
      <w:rPr>
        <w:b/>
        <w:bCs/>
        <w:color w:val="0C4E54"/>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A2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60" w:before="120"/>
      <w:outlineLvl w:val="0"/>
    </w:pPr>
    <w:rPr>
      <w:rFonts w:ascii="Calibri" w:cs="Calibri" w:eastAsia="Calibri" w:hAnsi="Calibri"/>
      <w:b/>
      <w:bCs/>
      <w:color w:val="0C4E54"/>
      <w:sz w:val="32"/>
      <w:szCs w:val="32"/>
    </w:rPr>
  </w:style>
  <w:style w:type="paragraph" w:styleId="Heading2">
    <w:name w:val="Heading 2"/>
    <w:basedOn w:val="Normal"/>
    <w:next w:val="Normal"/>
    <w:qFormat/>
    <w:pPr>
      <w:spacing w:after="100" w:before="240"/>
      <w:outlineLvl w:val="1"/>
    </w:pPr>
    <w:rPr>
      <w:rFonts w:ascii="Calibri" w:cs="Calibri" w:eastAsia="Calibri" w:hAnsi="Calibri"/>
      <w:b/>
      <w:bCs/>
      <w:color w:val="0C4E54"/>
      <w:sz w:val="25"/>
      <w:szCs w:val="25"/>
    </w:rPr>
  </w:style>
  <w:style w:type="paragraph" w:styleId="Heading3">
    <w:name w:val="Heading 3"/>
    <w:basedOn w:val="Normal"/>
    <w:next w:val="Normal"/>
    <w:qFormat/>
    <w:pPr>
      <w:spacing w:after="80" w:before="180"/>
      <w:outlineLvl w:val="2"/>
    </w:pPr>
    <w:rPr>
      <w:rFonts w:ascii="Calibri" w:cs="Calibri" w:eastAsia="Calibri" w:hAnsi="Calibri"/>
      <w:b/>
      <w:bCs/>
      <w:color w:val="1B2A2C"/>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5mh_vwmqbkrmxndponyyi" Type="http://schemas.openxmlformats.org/officeDocument/2006/relationships/hyperlink" Target="https://faolex.fao.org/docs/pdf/tun226392.pdf" TargetMode="External"/><Relationship Id="rIdsyb_kle2lqcqq4nixko2v" Type="http://schemas.openxmlformats.org/officeDocument/2006/relationships/hyperlink" Target="https://www.tap.info.tn/fr/Portail-%C3%A0-la-Une-FR-top/19294504-nouveaux-avantages" TargetMode="External"/><Relationship Id="rId3cldbbcvc7op43dpxx-yb" Type="http://schemas.openxmlformats.org/officeDocument/2006/relationships/hyperlink" Target="https://www.diwan.tn/fr/document/card/0f127de9-df10-4afe-81ea-3af92d6bdaec" TargetMode="External"/><Relationship Id="rIdcatwyqu5pfocfopqi6tw5" Type="http://schemas.openxmlformats.org/officeDocument/2006/relationships/hyperlink" Target="https://www.lapresse.tn/2026/03/09/tunisie-comment-fonctionnent-les-societes-communautaires-et-la-repartition-de-leurs-benefices/" TargetMode="External"/><Relationship Id="rId5aog1na4ta-1v4of3kztn" Type="http://schemas.openxmlformats.org/officeDocument/2006/relationships/hyperlink" Target="https://managers.tn/2025/03/10/voici-les-etapes-de-creation-dune-entreprise-communautaire-en-tunisie/" TargetMode="External"/><Relationship Id="rId2ot6mpbc-u8cvegnp3mnd" Type="http://schemas.openxmlformats.org/officeDocument/2006/relationships/hyperlink" Target="https://managers.tn/2025/01/06/les-nouveaux-avantages-des-societes-communautaires-pour-lannee-2025/" TargetMode="External"/><Relationship Id="rIdiiw3aixvr_l25q_dm8k_5" Type="http://schemas.openxmlformats.org/officeDocument/2006/relationships/hyperlink" Target="https://www.jurisitetunisie.com/tunisie/codes/lf2025/loifinances2025-56_fr.html" TargetMode="External"/><Relationship Id="rIdv7xpbhmu-g6x4ksnmpkex" Type="http://schemas.openxmlformats.org/officeDocument/2006/relationships/hyperlink" Target="https://jibaya.tn/docs/note-commune-n01-2025/" TargetMode="External"/><Relationship Id="rIdgoadxd48vw9zhiclgi6gm" Type="http://schemas.openxmlformats.org/officeDocument/2006/relationships/hyperlink" Target="http://www.biat.com.tn/biat-la-une/press-media/la-biat-un-partenaire-de-confiance-pour-les-societes-communautaires" TargetMode="External"/><Relationship Id="rIdz9_yssbtq3qebwm_md8jm" Type="http://schemas.openxmlformats.org/officeDocument/2006/relationships/hyperlink" Target="https://www.ccicentre.org.tn/flashinfo2025/flashinfojanvier2025.html" TargetMode="External"/><Relationship Id="rIdxuu4ggyb80txdhbxgt0xu" Type="http://schemas.openxmlformats.org/officeDocument/2006/relationships/hyperlink" Target="https://www.lapresse.tn/2025/03/12/tunisie-160-societes-communautaires-creees-le-secteur-agricole-en-tete/" TargetMode="External"/><Relationship Id="rIdkyffhxrhv4kfkpp0utonr" Type="http://schemas.openxmlformats.org/officeDocument/2006/relationships/hyperlink" Target="https://ahli.tn" TargetMode="External"/><Relationship Id="rIdtygsye7yymujqlql5psaf" Type="http://schemas.openxmlformats.org/officeDocument/2006/relationships/hyperlink" Target="https://nawaat.org/2025/01/24/societes-communautaires-en-tunisie-apres-les-cooperatives-la-nouvelle-panacee/" TargetMode="External"/><Relationship Id="rIdcq_tyxx1louy40l_6x3-i" Type="http://schemas.openxmlformats.org/officeDocument/2006/relationships/hyperlink" Target="https://inkyfada.com/fr/2024/12/04/entreprises-communautaires-tunisie/" TargetMode="External"/><Relationship Id="rIdjhfhsdozdvowjirmgnt1c" Type="http://schemas.openxmlformats.org/officeDocument/2006/relationships/hyperlink" Target="https://swiver.io/blog/societe-communautaire/" TargetMode="External"/><Relationship Id="rIdhlszfgcv6ji7yufcwnc7v" Type="http://schemas.openxmlformats.org/officeDocument/2006/relationships/hyperlink" Target="https://www.leconomistemaghrebin.com/2024/10/31/lone-met-lumiere-defis-opportunites-societes-communautaires/" TargetMode="External"/><Relationship Id="rId2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Relationship Id="rIdrn_zoufu2fzj6owfzzqdy" Type="http://schemas.openxmlformats.org/officeDocument/2006/relationships/hyperlink" Target="https://faolex.fao.org/docs/pdf/tun226392.pdf" TargetMode="External"/><Relationship Id="rId_ogmdbm0tx99sy8uajiq5" Type="http://schemas.openxmlformats.org/officeDocument/2006/relationships/hyperlink" Target="https://www.lapresse.tn/2026/03/09/tunisie-comment-fonctionnent-les-societes-communautaires-et-la-repartition-de-leurs-benefices/" TargetMode="External"/><Relationship Id="rIdfwox3lhd7oo48-s7hom0q" Type="http://schemas.openxmlformats.org/officeDocument/2006/relationships/hyperlink" Target="https://faolex.fao.org/docs/pdf/tun226392.pdf" TargetMode="External"/><Relationship Id="rIddt98olnctpivvcor1x_um" Type="http://schemas.openxmlformats.org/officeDocument/2006/relationships/hyperlink" Target="https://www.diwan.tn/fr/document/card/0f127de9-df10-4afe-81ea-3af92d6bdaec" TargetMode="External"/><Relationship Id="rIdzidetxo33exzuem_dxui8" Type="http://schemas.openxmlformats.org/officeDocument/2006/relationships/hyperlink" Target="https://www.tap.info.tn/fr/Portail-%C3%A0-la-Une-FR-top/19294504-nouveaux-avantages" TargetMode="External"/><Relationship Id="rIdl7umqduovk8jyofka5hlm" Type="http://schemas.openxmlformats.org/officeDocument/2006/relationships/hyperlink" Target="https://swiver.io/blog/societe-communautaire/" TargetMode="External"/><Relationship Id="rIdbso1fca_93c4bd32byiff" Type="http://schemas.openxmlformats.org/officeDocument/2006/relationships/hyperlink" Target="https://faolex.fao.org/docs/pdf/tun226392.pdf" TargetMode="External"/><Relationship Id="rIdj1kttafvv2ynxgl7k60kb" Type="http://schemas.openxmlformats.org/officeDocument/2006/relationships/hyperlink" Target="https://faolex.fao.org/docs/pdf/tun226392.pdf" TargetMode="External"/><Relationship Id="rIdc_ei6ktyupmptrk1_3gf4" Type="http://schemas.openxmlformats.org/officeDocument/2006/relationships/hyperlink" Target="https://faolex.fao.org/docs/pdf/tun226392.pdf" TargetMode="External"/><Relationship Id="rId8kp2byygne8gx5izsxz53" Type="http://schemas.openxmlformats.org/officeDocument/2006/relationships/hyperlink" Target="https://faolex.fao.org/docs/pdf/tun226392.pdf" TargetMode="External"/><Relationship Id="rIdeph8qphytr5ne0yi7ct9g" Type="http://schemas.openxmlformats.org/officeDocument/2006/relationships/hyperlink" Target="https://www.diwan.tn/fr/document/card/0f127de9-df10-4afe-81ea-3af92d6bdaec" TargetMode="External"/><Relationship Id="rIdg0rdjmst_al3euw628kgd" Type="http://schemas.openxmlformats.org/officeDocument/2006/relationships/hyperlink" Target="https://www.jurisitetunisie.com/tunisie/codes/lf2025/loifinances2025-56_fr.html" TargetMode="External"/><Relationship Id="rId2f7brbjxkwapdgjokhljt" Type="http://schemas.openxmlformats.org/officeDocument/2006/relationships/hyperlink" Target="https://jibaya.tn/docs/note-commune-n01-2025/" TargetMode="External"/><Relationship Id="rId2et8ca_kivxf0j7vmwfl_" Type="http://schemas.openxmlformats.org/officeDocument/2006/relationships/hyperlink" Target="https://www.tap.info.tn/fr/Portail-%C3%A0-la-Une-FR-top/19294504-nouveaux-avantages" TargetMode="External"/><Relationship Id="rIdznnlwtawbl1xmhru4msj1" Type="http://schemas.openxmlformats.org/officeDocument/2006/relationships/hyperlink" Target="https://faolex.fao.org/docs/pdf/tun226392.pdf" TargetMode="External"/><Relationship Id="rIdnqjtxdfh927ndv89acahz" Type="http://schemas.openxmlformats.org/officeDocument/2006/relationships/hyperlink" Target="https://www.tap.info.tn/fr/Portail-%C3%A0-la-Une-FR-top/19294504-nouveaux-avantages" TargetMode="External"/><Relationship Id="rId4tktn7u74etl9v3njjagv" Type="http://schemas.openxmlformats.org/officeDocument/2006/relationships/hyperlink" Target="https://www.lapresse.tn/2025/03/12/tunisie-160-societes-communautaires-creees-le-secteur-agricole-en-tete/" TargetMode="External"/><Relationship Id="rIdjcfafpltadlpdyfebxpyq" Type="http://schemas.openxmlformats.org/officeDocument/2006/relationships/hyperlink" Target="https://www.lapresse.tn/2025/03/12/tunisie-160-societes-communautaires-creees-le-secteur-agricole-en-tete/" TargetMode="External"/><Relationship Id="rIdvpccdh1awshyyag5qvnbh" Type="http://schemas.openxmlformats.org/officeDocument/2006/relationships/hyperlink" Target="https://www.diwan.tn/fr/document/card/0f127de9-df10-4afe-81ea-3af92d6bdaec" TargetMode="External"/><Relationship Id="rIdcdx8z_hsmklvkxr3cah2-" Type="http://schemas.openxmlformats.org/officeDocument/2006/relationships/hyperlink" Target="https://faolex.fao.org/docs/pdf/tun226392.pdf" TargetMode="External"/><Relationship Id="rIdmrao4nlublzcwhvnbcdm5" Type="http://schemas.openxmlformats.org/officeDocument/2006/relationships/hyperlink" Target="https://www.tap.info.tn/fr/Portail-%C3%A0-la-Une-FR-top/19294504-nouveaux-avantages" TargetMode="External"/><Relationship Id="rIddja5etjq0vxz1oevbybs1" Type="http://schemas.openxmlformats.org/officeDocument/2006/relationships/hyperlink" Target="https://faolex.fao.org/docs/pdf/tun226392.pdf" TargetMode="External"/><Relationship Id="rIdtyl7ewlp6e2llbqd9p_fd" Type="http://schemas.openxmlformats.org/officeDocument/2006/relationships/hyperlink" Target="https://faolex.fao.org/docs/pdf/tun226392.pdf" TargetMode="External"/><Relationship Id="rIdztf3feysetyt666tslnvp" Type="http://schemas.openxmlformats.org/officeDocument/2006/relationships/hyperlink" Target="https://www.tap.info.tn/fr/Portail-%C3%A0-la-Une-FR-top/19294504-nouveaux-avantages" TargetMode="External"/><Relationship Id="rIdcc7_mkex3migohgu1jghg" Type="http://schemas.openxmlformats.org/officeDocument/2006/relationships/hyperlink" Target="https://faolex.fao.org/docs/pdf/tun226392.pdf" TargetMode="External"/><Relationship Id="rIdrlg7wbc8p3feosb_e6ker" Type="http://schemas.openxmlformats.org/officeDocument/2006/relationships/hyperlink" Target="https://faolex.fao.org/docs/pdf/tun226392.pdf" TargetMode="External"/><Relationship Id="rIddamvjuarfw9vup48g0qrn" Type="http://schemas.openxmlformats.org/officeDocument/2006/relationships/hyperlink" Target="https://www.tap.info.tn/fr/Portail-%C3%A0-la-Une-FR-top/19294504-nouveaux-avantages" TargetMode="External"/><Relationship Id="rIdradf7opn7wzuszn74c9sl" Type="http://schemas.openxmlformats.org/officeDocument/2006/relationships/hyperlink" Target="https://faolex.fao.org/docs/pdf/tun226392.pdf" TargetMode="External"/><Relationship Id="rId3g_zv4eif-ynkb80aa0ju" Type="http://schemas.openxmlformats.org/officeDocument/2006/relationships/hyperlink" Target="https://www.tap.info.tn/fr/Portail-%C3%A0-la-Une-FR-top/19294504-nouveaux-avantages" TargetMode="External"/><Relationship Id="rId-vugzksqm8f2oleub5m-q" Type="http://schemas.openxmlformats.org/officeDocument/2006/relationships/hyperlink" Target="https://www.leconomistemaghrebin.com/2024/10/31/lone-met-lumiere-defis-opportunites-societes-communautaires/" TargetMode="External"/><Relationship Id="rIdqlfhizwgd5rvs7-o4hwz2" Type="http://schemas.openxmlformats.org/officeDocument/2006/relationships/hyperlink" Target="http://www.biat.com.tn/biat-la-une/press-media/la-biat-un-partenaire-de-confiance-pour-les-societes-communautaires" TargetMode="External"/><Relationship Id="rIdwx0ehmzly20wxegiuzyaj" Type="http://schemas.openxmlformats.org/officeDocument/2006/relationships/hyperlink" Target="https://swiver.io/blog/societe-communautaire/" TargetMode="External"/><Relationship Id="rIdw82rlrcqsk-fiin8xn1lr" Type="http://schemas.openxmlformats.org/officeDocument/2006/relationships/hyperlink" Target="https://www.tap.info.tn/fr/Portail-%C3%A0-la-Une-FR-top/19294504-nouveaux-avantages" TargetMode="External"/><Relationship Id="rIdnfbyjaa3tkyxxz0sydxux" Type="http://schemas.openxmlformats.org/officeDocument/2006/relationships/hyperlink" Target="https://www.diwan.tn/fr/document/card/0f127de9-df10-4afe-81ea-3af92d6bdaec" TargetMode="External"/><Relationship Id="rIdefie2w0p-q6rjclwbtzhc" Type="http://schemas.openxmlformats.org/officeDocument/2006/relationships/hyperlink" Target="https://faolex.fao.org/docs/pdf/tun226392.pdf" TargetMode="External"/><Relationship Id="rIdffg84seii855ckwnjhen0" Type="http://schemas.openxmlformats.org/officeDocument/2006/relationships/hyperlink" Target="https://faolex.fao.org/docs/pdf/tun226392.pdf" TargetMode="External"/><Relationship Id="rId0nclyvugnuocqjdgrr8m8" Type="http://schemas.openxmlformats.org/officeDocument/2006/relationships/hyperlink" Target="https://www.tap.info.tn/fr/Portail-%C3%A0-la-Une-FR-top/19294504-nouveaux-avantages" TargetMode="External"/><Relationship Id="rId8kz0jijt9izp39kmtama3" Type="http://schemas.openxmlformats.org/officeDocument/2006/relationships/hyperlink" Target="https://www.jurisitetunisie.com/tunisie/codes/lf2025/loifinances2025-56_fr.html" TargetMode="External"/><Relationship Id="rIdz2sv7d0cboikkrwqj23vh" Type="http://schemas.openxmlformats.org/officeDocument/2006/relationships/hyperlink" Target="https://www.ccicentre.org.tn/flashinfo2025/flashinfojanvier2025.html" TargetMode="External"/><Relationship Id="rId_qqtdi4u1p3zz2qmliiup" Type="http://schemas.openxmlformats.org/officeDocument/2006/relationships/hyperlink" Target="https://inkyfada.com/fr/2024/12/04/entreprises-communautaires-tunisie/" TargetMode="External"/><Relationship Id="rId27favl2thkepuc2cv0izf" Type="http://schemas.openxmlformats.org/officeDocument/2006/relationships/hyperlink" Target="http://www.biat.com.tn/biat-la-une/press-media/la-biat-un-partenaire-de-confiance-pour-les-societes-communautaires" TargetMode="External"/><Relationship Id="rId7xi4psk6tjfulyo56771b" Type="http://schemas.openxmlformats.org/officeDocument/2006/relationships/hyperlink" Target="https://www.ccicentre.org.tn/flashinfo2025/flashinfojanvier2025.html" TargetMode="External"/><Relationship Id="rIdrrlni72p6-luikarv76qy" Type="http://schemas.openxmlformats.org/officeDocument/2006/relationships/hyperlink" Target="https://www.lapresse.tn/2025/03/12/tunisie-160-societes-communautaires-creees-le-secteur-agricole-en-tete/" TargetMode="External"/><Relationship Id="rIdwihp2xz-7phj7ej69nfd9" Type="http://schemas.openxmlformats.org/officeDocument/2006/relationships/hyperlink" Target="https://inkyfada.com/fr/2024/12/04/entreprises-communautaires-tunisie/" TargetMode="External"/><Relationship Id="rIdv51z59vftuhasgdpjp2jo" Type="http://schemas.openxmlformats.org/officeDocument/2006/relationships/hyperlink" Target="https://swiver.io/blog/societe-communautaire/" TargetMode="External"/><Relationship Id="rIdmfsppewxqy6orc0khnsir" Type="http://schemas.openxmlformats.org/officeDocument/2006/relationships/hyperlink" Target="https://managers.tn/2025/03/10/voici-les-etapes-de-creation-dune-entreprise-communautaire-en-tunisie/" TargetMode="External"/><Relationship Id="rIdkuj75gqe6mcgt6mi62xps" Type="http://schemas.openxmlformats.org/officeDocument/2006/relationships/hyperlink" Target="https://www.tap.info.tn/fr/Portail-%C3%A0-la-Une-FR-top/19294504-nouveaux-avantages" TargetMode="External"/><Relationship Id="rIdcw8rc_x1jeaagtdx9uegz" Type="http://schemas.openxmlformats.org/officeDocument/2006/relationships/hyperlink" Target="https://swiver.io/blog/societe-communautaire/" TargetMode="External"/><Relationship Id="rId5zm2483-xroahrlcbz84g" Type="http://schemas.openxmlformats.org/officeDocument/2006/relationships/hyperlink" Target="https://www.tap.info.tn/fr/Portail-%C3%A0-la-Une-FR-top/19294504-nouveaux-avantages" TargetMode="External"/><Relationship Id="rId2y8bqoexwy0xdueqfziul" Type="http://schemas.openxmlformats.org/officeDocument/2006/relationships/hyperlink" Target="https://managers.tn/2025/03/10/voici-les-etapes-de-creation-dune-entreprise-communautaire-en-tunisie/" TargetMode="External"/><Relationship Id="rIdo20at-fwla66zkgkfrtld" Type="http://schemas.openxmlformats.org/officeDocument/2006/relationships/hyperlink" Target="https://www.tap.info.tn/fr/Portail-%C3%A0-la-Une-FR-top/19294504-nouveaux-avantages" TargetMode="External"/><Relationship Id="rIdvosixz7zo4g6_oqbvl-_h" Type="http://schemas.openxmlformats.org/officeDocument/2006/relationships/hyperlink" Target="https://managers.tn/2025/03/10/voici-les-etapes-de-creation-dune-entreprise-communautaire-en-tunisie/" TargetMode="External"/><Relationship Id="rIde5inrh9h9jvqkp6m8o9tw" Type="http://schemas.openxmlformats.org/officeDocument/2006/relationships/hyperlink" Target="https://managers.tn/2025/03/10/voici-les-etapes-de-creation-dune-entreprise-communautaire-en-tunisie/" TargetMode="External"/><Relationship Id="rId5mlcejwmwfmoph8pjzvdp" Type="http://schemas.openxmlformats.org/officeDocument/2006/relationships/hyperlink" Target="https://managers.tn/2025/03/10/voici-les-etapes-de-creation-dune-entreprise-communautaire-en-tunisie/" TargetMode="External"/><Relationship Id="rIdutawerrz2fahfubafgzcw" Type="http://schemas.openxmlformats.org/officeDocument/2006/relationships/hyperlink" Target="https://managers.tn/2025/03/10/voici-les-etapes-de-creation-dune-entreprise-communautaire-en-tunisie/" TargetMode="External"/><Relationship Id="rIdnoi46nxzpo28gqfuogzvj" Type="http://schemas.openxmlformats.org/officeDocument/2006/relationships/hyperlink" Target="https://www.diwan.tn/fr/document/card/0f127de9-df10-4afe-81ea-3af92d6bdaec" TargetMode="External"/><Relationship Id="rId9vmcj8vpd-0yj2c7s3jyv" Type="http://schemas.openxmlformats.org/officeDocument/2006/relationships/hyperlink" Target="https://managers.tn/2025/03/10/voici-les-etapes-de-creation-dune-entreprise-communautaire-en-tunisie/" TargetMode="External"/><Relationship Id="rIduczeu6qfkppduqgpsfrpq" Type="http://schemas.openxmlformats.org/officeDocument/2006/relationships/hyperlink" Target="https://managers.tn/2025/03/10/voici-les-etapes-de-creation-dune-entreprise-communautaire-en-tunisie/" TargetMode="External"/><Relationship Id="rIdapynweg9c9_wnhkhneuus" Type="http://schemas.openxmlformats.org/officeDocument/2006/relationships/hyperlink" Target="https://managers.tn/2025/03/10/voici-les-etapes-de-creation-dune-entreprise-communautaire-en-tunisie/" TargetMode="External"/><Relationship Id="rIdg0afu8d6frhq8_fhtd2gn" Type="http://schemas.openxmlformats.org/officeDocument/2006/relationships/hyperlink" Target="https://managers.tn/2025/03/10/voici-les-etapes-de-creation-dune-entreprise-communautaire-en-tunisie/" TargetMode="External"/><Relationship Id="rIdvmzl4_uiq-2ngtdfqkimp" Type="http://schemas.openxmlformats.org/officeDocument/2006/relationships/hyperlink" Target="https://managers.tn/2025/03/10/voici-les-etapes-de-creation-dune-entreprise-communautaire-en-tunisie/" TargetMode="External"/><Relationship Id="rIdxxtnstvqybzhfhsdrlshk" Type="http://schemas.openxmlformats.org/officeDocument/2006/relationships/hyperlink" Target="https://managers.tn/2025/03/10/voici-les-etapes-de-creation-dune-entreprise-communautaire-en-tunisie/" TargetMode="External"/><Relationship Id="rId0nk_vtn9p3lsiqx_wxxrv" Type="http://schemas.openxmlformats.org/officeDocument/2006/relationships/hyperlink" Target="https://managers.tn/2025/03/10/voici-les-etapes-de-creation-dune-entreprise-communautaire-en-tunisie/" TargetMode="External"/><Relationship Id="rId1yhfkjsoyrrbxnro4in4u" Type="http://schemas.openxmlformats.org/officeDocument/2006/relationships/hyperlink" Target="https://www.tap.info.tn/fr/Portail-%C3%A0-la-Une-FR-top/19294504-nouveaux-avantages" TargetMode="External"/><Relationship Id="rIdtlqoxvclelycyj8-0nbmq" Type="http://schemas.openxmlformats.org/officeDocument/2006/relationships/hyperlink" Target="https://managers.tn/2025/03/10/voici-les-etapes-de-creation-dune-entreprise-communautaire-en-tunisie/" TargetMode="External"/><Relationship Id="rIdjhewnei-tb9ciwakiyhjk" Type="http://schemas.openxmlformats.org/officeDocument/2006/relationships/hyperlink" Target="https://managers.tn/2025/03/10/voici-les-etapes-de-creation-dune-entreprise-communautaire-en-tunisie/" TargetMode="External"/><Relationship Id="rId-z8uyb3udra2nryxmzwlw" Type="http://schemas.openxmlformats.org/officeDocument/2006/relationships/hyperlink" Target="https://www.lapresse.tn/2026/03/09/tunisie-comment-fonctionnent-les-societes-communautaires-et-la-repartition-de-leurs-benefices/" TargetMode="External"/><Relationship Id="rIdgaa6m3asqgtmkm3zhavxh" Type="http://schemas.openxmlformats.org/officeDocument/2006/relationships/hyperlink" Target="https://managers.tn/2025/01/06/les-nouveaux-avantages-des-societes-communautaires-pour-lannee-2025/" TargetMode="External"/><Relationship Id="rId5g41nzbmlluh_nijivrko" Type="http://schemas.openxmlformats.org/officeDocument/2006/relationships/hyperlink" Target="https://www.lapresse.tn/2026/03/09/tunisie-comment-fonctionnent-les-societes-communautaires-et-la-repartition-de-leurs-benefices/" TargetMode="External"/><Relationship Id="rIdyrgua7s7bikh_e_f3y3rw" Type="http://schemas.openxmlformats.org/officeDocument/2006/relationships/hyperlink" Target="https://managers.tn/2025/01/06/les-nouveaux-avantages-des-societes-communautaires-pour-lannee-2025/" TargetMode="External"/><Relationship Id="rIdtn8jy3x5a_kjepwq57yiv" Type="http://schemas.openxmlformats.org/officeDocument/2006/relationships/hyperlink" Target="https://managers.tn/2025/01/06/les-nouveaux-avantages-des-societes-communautaires-pour-lannee-2025/" TargetMode="External"/><Relationship Id="rIdlmsovfgdifoe1w53mr931" Type="http://schemas.openxmlformats.org/officeDocument/2006/relationships/hyperlink" Target="https://www.jurisitetunisie.com/tunisie/codes/lf2025/loifinances2025-56_fr.html" TargetMode="External"/><Relationship Id="rIdkwlzcsg5dtpzuoc4unx_t" Type="http://schemas.openxmlformats.org/officeDocument/2006/relationships/hyperlink" Target="https://www.jurisitetunisie.com/tunisie/codes/lf2025/loifinances2025-56_fr.html" TargetMode="External"/><Relationship Id="rIdmt7qgbwfv_ouhiq3ysuw2" Type="http://schemas.openxmlformats.org/officeDocument/2006/relationships/hyperlink" Target="https://www.lapresse.tn/2026/03/09/tunisie-comment-fonctionnent-les-societes-communautaires-et-la-repartition-de-leurs-benefices/" TargetMode="External"/><Relationship Id="rId2wnm_jjnp-gc3u88yqdqs" Type="http://schemas.openxmlformats.org/officeDocument/2006/relationships/hyperlink" Target="https://www.lapresse.tn/2026/03/09/tunisie-comment-fonctionnent-les-societes-communautaires-et-la-repartition-de-leurs-benefices/" TargetMode="External"/><Relationship Id="rIdbezawyv84souuicuri8pj" Type="http://schemas.openxmlformats.org/officeDocument/2006/relationships/hyperlink" Target="https://www.lapresse.tn/2026/03/09/tunisie-comment-fonctionnent-les-societes-communautaires-et-la-repartition-de-leurs-benefices/" TargetMode="External"/><Relationship Id="rIdys6v95_8cgayshvyrpjv6" Type="http://schemas.openxmlformats.org/officeDocument/2006/relationships/hyperlink" Target="https://www.lapresse.tn/2026/03/09/tunisie-comment-fonctionnent-les-societes-communautaires-et-la-repartition-de-leurs-benefices/" TargetMode="External"/><Relationship Id="rId_bpz0fcoqfhnmz_qv7k5f" Type="http://schemas.openxmlformats.org/officeDocument/2006/relationships/hyperlink" Target="https://www.lapresse.tn/2026/03/09/tunisie-comment-fonctionnent-les-societes-communautaires-et-la-repartition-de-leurs-benefices/" TargetMode="External"/><Relationship Id="rIdljpecn4wlh19jdttoc6fv" Type="http://schemas.openxmlformats.org/officeDocument/2006/relationships/hyperlink" Target="https://www.lapresse.tn/2026/03/09/tunisie-comment-fonctionnent-les-societes-communautaires-et-la-repartition-de-leurs-benefices/" TargetMode="External"/><Relationship Id="rId_etbdbubu1kbssthrp-g3" Type="http://schemas.openxmlformats.org/officeDocument/2006/relationships/hyperlink" Target="https://www.lapresse.tn/2026/03/09/tunisie-comment-fonctionnent-les-societes-communautaires-et-la-repartition-de-leurs-benefices/" TargetMode="External"/><Relationship Id="rIdvaasymlqbemfqey9qde2t" Type="http://schemas.openxmlformats.org/officeDocument/2006/relationships/hyperlink" Target="https://swiver.io/blog/societe-communautaire/" TargetMode="External"/><Relationship Id="rId1t4so5qet0q-hxnq9isxo" Type="http://schemas.openxmlformats.org/officeDocument/2006/relationships/hyperlink" Target="https://www.lapresse.tn/2026/03/09/tunisie-comment-fonctionnent-les-societes-communautaires-et-la-repartition-de-leurs-benefices/" TargetMode="External"/><Relationship Id="rIdkafkxkmlnxbkhy94bbyxv" Type="http://schemas.openxmlformats.org/officeDocument/2006/relationships/hyperlink" Target="https://nawaat.org/2025/01/24/societes-communautaires-en-tunisie-apres-les-cooperatives-la-nouvelle-panacee/" TargetMode="External"/><Relationship Id="rIddweagcr-ggvykicdvtedv" Type="http://schemas.openxmlformats.org/officeDocument/2006/relationships/hyperlink" Target="https://swiver.io/blog/societe-communautaire/" TargetMode="External"/><Relationship Id="rId0l2imds535nd7-coss6bd" Type="http://schemas.openxmlformats.org/officeDocument/2006/relationships/hyperlink" Target="https://nawaat.org/2025/01/24/societes-communautaires-en-tunisie-apres-les-cooperatives-la-nouvelle-panacee/" TargetMode="External"/><Relationship Id="rIdkhpmxfdsqfhxxi8yzjn8-" Type="http://schemas.openxmlformats.org/officeDocument/2006/relationships/hyperlink" Target="https://inkyfada.com/fr/2024/12/04/entreprises-communautaires-tunisie/" TargetMode="External"/><Relationship Id="rIdylvetmlk9pbapyeawv8ge" Type="http://schemas.openxmlformats.org/officeDocument/2006/relationships/hyperlink" Target="https://nawaat.org/2025/01/24/societes-communautaires-en-tunisie-apres-les-cooperatives-la-nouvelle-panacee/" TargetMode="External"/><Relationship Id="rIdobtb8bdhpr_tum_cty83y" Type="http://schemas.openxmlformats.org/officeDocument/2006/relationships/hyperlink" Target="https://www.lapresse.tn/2025/03/12/tunisie-160-societes-communautaires-creees-le-secteur-agricole-en-tete/" TargetMode="External"/><Relationship Id="rIdxrnsavplwbz-bbhaf9ljj" Type="http://schemas.openxmlformats.org/officeDocument/2006/relationships/hyperlink" Target="https://ahli.tn" TargetMode="External"/><Relationship Id="rIdkhjkc7p4ljinwopc63hxt" Type="http://schemas.openxmlformats.org/officeDocument/2006/relationships/hyperlink" Target="https://ahli.tn" TargetMode="External"/><Relationship Id="rIdxpynfb5fqkcreppqqfghs" Type="http://schemas.openxmlformats.org/officeDocument/2006/relationships/hyperlink" Target="https://ahli.tn" TargetMode="External"/><Relationship Id="rId1xbk88yd_qxffup6_4lnc" Type="http://schemas.openxmlformats.org/officeDocument/2006/relationships/hyperlink" Target="https://www.lapresse.tn/2025/03/12/tunisie-160-societes-communautaires-creees-le-secteur-agricole-en-tete/" TargetMode="External"/><Relationship Id="rIdht5fqjvwof0xk1hrs29cs" Type="http://schemas.openxmlformats.org/officeDocument/2006/relationships/hyperlink" Target="https://ahli.tn" TargetMode="External"/><Relationship Id="rIdhupazetbq4ahqyjb5vkqc" Type="http://schemas.openxmlformats.org/officeDocument/2006/relationships/hyperlink" Target="https://ahli.tn" TargetMode="External"/><Relationship Id="rIdw-hrtoepphzu20j2mdr51" Type="http://schemas.openxmlformats.org/officeDocument/2006/relationships/hyperlink" Target="https://ahli.tn" TargetMode="External"/><Relationship Id="rIdk67g5uzuxotodrkejbgvf" Type="http://schemas.openxmlformats.org/officeDocument/2006/relationships/hyperlink" Target="https://ahli.tn" TargetMode="External"/><Relationship Id="rIdehzkozyq2xdc_t7mhwpek" Type="http://schemas.openxmlformats.org/officeDocument/2006/relationships/hyperlink" Target="https://inkyfada.com/fr/2024/12/04/entreprises-communautaires-tunisie/" TargetMode="External"/><Relationship Id="rIdrucms6wz9ov7rpykweqvw" Type="http://schemas.openxmlformats.org/officeDocument/2006/relationships/hyperlink" Target="https://www.leconomistemaghrebin.com/2024/10/31/lone-met-lumiere-defis-opportunites-societes-communautaires/" TargetMode="External"/><Relationship Id="rIdqlr9q2oc_tda6wizfesfy" Type="http://schemas.openxmlformats.org/officeDocument/2006/relationships/hyperlink" Target="https://managers.tn/2025/03/10/voici-les-etapes-de-creation-dune-entreprise-communautaire-en-tunisie/" TargetMode="External"/><Relationship Id="rIdn44yzzvnjsik3yfvns_cw" Type="http://schemas.openxmlformats.org/officeDocument/2006/relationships/hyperlink" Target="https://www.tap.info.tn/fr/Portail-%C3%A0-la-Une-FR-top/19294504-nouveaux-avantages" TargetMode="External"/><Relationship Id="rId5f3wuox6p5gjdvuxcs9q1" Type="http://schemas.openxmlformats.org/officeDocument/2006/relationships/hyperlink" Target="https://swiver.io/blog/societe-communautaire/" TargetMode="External"/><Relationship Id="rIdoecnlzjvng9yzmh4ftzvi" Type="http://schemas.openxmlformats.org/officeDocument/2006/relationships/hyperlink" Target="https://swiver.io/blog/societe-communautaire/" TargetMode="External"/><Relationship Id="rId6v5mmbg9d3uwt1rs9klg6" Type="http://schemas.openxmlformats.org/officeDocument/2006/relationships/hyperlink" Target="https://www.tap.info.tn/fr/Portail-%C3%A0-la-Une-FR-top/19294504-nouveaux-avantages" TargetMode="External"/><Relationship Id="rId9pa56lhqyaqbz5boev4fg" Type="http://schemas.openxmlformats.org/officeDocument/2006/relationships/hyperlink" Target="https://www.tap.info.tn/fr/Portail-%C3%A0-la-Une-FR-top/19294504-nouveaux-avantages" TargetMode="External"/><Relationship Id="rIdetrgbczb71pvg2-fxrifi" Type="http://schemas.openxmlformats.org/officeDocument/2006/relationships/hyperlink" Target="https://www.tap.info.tn/fr/Portail-%C3%A0-la-Une-FR-top/19294504-nouveaux-avantages" TargetMode="External"/><Relationship Id="rIdksc1gvyzwagf3tsyb3o_1" Type="http://schemas.openxmlformats.org/officeDocument/2006/relationships/hyperlink" Target="https://faolex.fao.org/docs/pdf/tun226392.pdf" TargetMode="External"/><Relationship Id="rId7xsvfmwdaolm_lkz4cihl" Type="http://schemas.openxmlformats.org/officeDocument/2006/relationships/hyperlink" Target="https://www.tap.info.tn/fr/Portail-%C3%A0-la-Une-FR-top/19294504-nouveaux-avantages" TargetMode="External"/><Relationship Id="rIdvhhclatydmcxx426myuwi" Type="http://schemas.openxmlformats.org/officeDocument/2006/relationships/hyperlink" Target="https://faolex.fao.org/docs/pdf/tun226392.pdf" TargetMode="External"/><Relationship Id="rIdxms_y1kmtdvrc9krgdpy7" Type="http://schemas.openxmlformats.org/officeDocument/2006/relationships/hyperlink" Target="https://swiver.io/blog/societe-communautaire/" TargetMode="External"/><Relationship Id="rIdthvhf0eklq3uwsgfkdxfh" Type="http://schemas.openxmlformats.org/officeDocument/2006/relationships/hyperlink" Target="https://www.lapresse.tn/2026/03/09/tunisie-comment-fonctionnent-les-societes-communautaires-et-la-repartition-de-leurs-benefices/" TargetMode="External"/><Relationship Id="rId1awrhwhezxb8h1gcznulq" Type="http://schemas.openxmlformats.org/officeDocument/2006/relationships/hyperlink" Target="https://www.lapresse.tn/2026/03/09/tunisie-comment-fonctionnent-les-societes-communautaires-et-la-repartition-de-leurs-benefices/" TargetMode="External"/><Relationship Id="rIdk_pnb4qsvx7emeq5bmv8g" Type="http://schemas.openxmlformats.org/officeDocument/2006/relationships/hyperlink" Target="https://managers.tn/2025/01/06/les-nouveaux-avantages-des-societes-communautaires-pour-lannee-2025/" TargetMode="External"/><Relationship Id="rId5f96-1qkkoyiqmqsl4z18" Type="http://schemas.openxmlformats.org/officeDocument/2006/relationships/hyperlink" Target="https://www.jurisitetunisie.com/tunisie/codes/lf2025/loifinances2025-56_fr.html" TargetMode="External"/><Relationship Id="rIddzgqnfj0iymzem-h8x60s" Type="http://schemas.openxmlformats.org/officeDocument/2006/relationships/hyperlink" Target="https://faolex.fao.org/docs/pdf/tun226392.pdf" TargetMode="External"/><Relationship Id="rIdeok-act8ua1lkkf46mtqg" Type="http://schemas.openxmlformats.org/officeDocument/2006/relationships/hyperlink" Target="https://www.tap.info.tn/fr/Portail-%C3%A0-la-Une-FR-top/19294504-nouveaux-avantages" TargetMode="External"/><Relationship Id="rIdfbpwxvoeit9ivtnrijcdn" Type="http://schemas.openxmlformats.org/officeDocument/2006/relationships/hyperlink" Target="https://www.tap.info.tn/fr/Portail-%C3%A0-la-Une-FR-top/19294504-nouveaux-avantages" TargetMode="External"/><Relationship Id="rIdeu6pyfllxvpe9f9ntcyng" Type="http://schemas.openxmlformats.org/officeDocument/2006/relationships/hyperlink" Target="https://www.lapresse.tn/2025/03/12/tunisie-160-societes-communautaires-creees-le-secteur-agricole-en-tete/" TargetMode="External"/></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sociétés communautaires en Tunisie</dc:title>
  <dc:creator>Livre blanc — Sociétés communautaires en Tunisie</dc:creator>
  <dc:description>Guide du régime juridique et fiscal, de la gouvernance et des étapes de constitution</dc:description>
  <cp:lastModifiedBy>Un-named</cp:lastModifiedBy>
  <cp:revision>1</cp:revision>
  <dcterms:created xsi:type="dcterms:W3CDTF">2026-05-29T08:22:49.520Z</dcterms:created>
  <dcterms:modified xsi:type="dcterms:W3CDTF">2026-05-29T08:22:49.520Z</dcterms:modified>
</cp:coreProperties>
</file>

<file path=docProps/custom.xml><?xml version="1.0" encoding="utf-8"?>
<Properties xmlns="http://schemas.openxmlformats.org/officeDocument/2006/custom-properties" xmlns:vt="http://schemas.openxmlformats.org/officeDocument/2006/docPropsVTypes"/>
</file>