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1696F" w:val="clear"/>
            <w:tcMar>
              <w:top w:type="dxa" w:w="60"/>
              <w:left w:type="dxa" w:w="0"/>
              <w:bottom w:type="dxa" w:w="60"/>
              <w:right w:type="dxa" w:w="0"/>
            </w:tcMar>
          </w:tcPr>
          <w:p>
            <w:r>
              <w:rPr>
                <w:rFonts w:ascii="Calibri" w:cs="Calibri" w:eastAsia="Calibri" w:hAnsi="Calibri"/>
                <w:sz w:val="8"/>
                <w:szCs w:val="8"/>
              </w:rPr>
              <w:t xml:space="preserve"> </w:t>
            </w:r>
          </w:p>
        </w:tc>
      </w:tr>
    </w:tbl>
    <w:p>
      <w:pPr>
        <w:spacing w:before="1600"/>
      </w:pPr>
      <w:r>
        <w:rPr>
          <w:rFonts w:ascii="Calibri" w:cs="Calibri" w:eastAsia="Calibri" w:hAnsi="Calibri"/>
        </w:rPr>
        <w:t xml:space="preserve"/>
      </w:r>
    </w:p>
    <w:p>
      <w:pPr>
        <w:spacing w:after="240"/>
        <w:jc w:val="left"/>
      </w:pPr>
      <w:r>
        <w:rPr>
          <w:rFonts w:ascii="Calibri" w:cs="Calibri" w:eastAsia="Calibri" w:hAnsi="Calibri"/>
          <w:b/>
          <w:bCs/>
          <w:color w:val="01696F"/>
          <w:spacing w:val="80"/>
          <w:sz w:val="28"/>
          <w:szCs w:val="28"/>
        </w:rPr>
        <w:t xml:space="preserve">LIVRE BLANC</w:t>
      </w:r>
    </w:p>
    <w:p>
      <w:pPr>
        <w:spacing w:after="120"/>
        <w:jc w:val="left"/>
      </w:pPr>
      <w:r>
        <w:rPr>
          <w:rFonts w:ascii="Calibri" w:cs="Calibri" w:eastAsia="Calibri" w:hAnsi="Calibri"/>
          <w:b/>
          <w:bCs/>
          <w:color w:val="28251D"/>
          <w:sz w:val="64"/>
          <w:szCs w:val="64"/>
        </w:rPr>
        <w:t xml:space="preserve">Sources de Financement</w:t>
      </w:r>
    </w:p>
    <w:p>
      <w:pPr>
        <w:spacing w:after="360"/>
        <w:jc w:val="left"/>
      </w:pPr>
      <w:r>
        <w:rPr>
          <w:rFonts w:ascii="Calibri" w:cs="Calibri" w:eastAsia="Calibri" w:hAnsi="Calibri"/>
          <w:b/>
          <w:bCs/>
          <w:color w:val="28251D"/>
          <w:sz w:val="64"/>
          <w:szCs w:val="64"/>
        </w:rPr>
        <w:t xml:space="preserve">des PME en Tunisie</w:t>
      </w:r>
    </w:p>
    <w:tbl>
      <w:tblPr>
        <w:tblW w:type="dxa" w:w="2400"/>
        <w:tblBorders>
          <w:top w:val="single" w:color="auto" w:sz="4"/>
          <w:left w:val="single" w:color="auto" w:sz="4"/>
          <w:bottom w:val="single" w:color="auto" w:sz="4"/>
          <w:right w:val="single" w:color="auto" w:sz="4"/>
          <w:insideH w:val="single" w:color="auto" w:sz="4"/>
          <w:insideV w:val="single" w:color="auto" w:sz="4"/>
        </w:tblBorders>
      </w:tblPr>
      <w:tblGrid>
        <w:gridCol w:w="2400"/>
      </w:tblGrid>
      <w:tr>
        <w:tc>
          <w:tcPr>
            <w:tcW w:type="dxa" w:w="2400"/>
            <w:tcBorders>
              <w:top w:val="none" w:color="FFFFFF" w:sz="0"/>
              <w:left w:val="none" w:color="FFFFFF" w:sz="0"/>
              <w:bottom w:val="none" w:color="FFFFFF" w:sz="0"/>
              <w:right w:val="none" w:color="FFFFFF" w:sz="0"/>
            </w:tcBorders>
            <w:shd w:fill="01696F" w:val="clear"/>
            <w:tcMar>
              <w:top w:type="dxa" w:w="30"/>
              <w:left w:type="dxa" w:w="0"/>
              <w:bottom w:type="dxa" w:w="30"/>
              <w:right w:type="dxa" w:w="0"/>
            </w:tcMar>
          </w:tcPr>
          <w:p>
            <w:r>
              <w:rPr>
                <w:rFonts w:ascii="Calibri" w:cs="Calibri" w:eastAsia="Calibri" w:hAnsi="Calibri"/>
                <w:sz w:val="4"/>
                <w:szCs w:val="4"/>
              </w:rPr>
              <w:t xml:space="preserve"> </w:t>
            </w:r>
          </w:p>
        </w:tc>
      </w:tr>
    </w:tbl>
    <w:p>
      <w:pPr>
        <w:spacing w:before="300"/>
      </w:pPr>
      <w:r>
        <w:rPr>
          <w:rFonts w:ascii="Calibri" w:cs="Calibri" w:eastAsia="Calibri" w:hAnsi="Calibri"/>
        </w:rPr>
        <w:t xml:space="preserve"/>
      </w:r>
    </w:p>
    <w:p>
      <w:pPr>
        <w:spacing w:after="160"/>
        <w:jc w:val="left"/>
      </w:pPr>
      <w:r>
        <w:rPr>
          <w:rFonts w:ascii="Calibri" w:cs="Calibri" w:eastAsia="Calibri" w:hAnsi="Calibri"/>
          <w:i/>
          <w:iCs/>
          <w:color w:val="0C4E54"/>
          <w:sz w:val="28"/>
          <w:szCs w:val="28"/>
        </w:rPr>
        <w:t xml:space="preserve">Guide pratique destiné aux entrepreneurs</w:t>
      </w:r>
    </w:p>
    <w:p>
      <w:pPr>
        <w:spacing w:after="2400"/>
        <w:jc w:val="left"/>
      </w:pPr>
      <w:r>
        <w:rPr>
          <w:rFonts w:ascii="Calibri" w:cs="Calibri" w:eastAsia="Calibri" w:hAnsi="Calibri"/>
          <w:color w:val="7A7974"/>
          <w:sz w:val="22"/>
          <w:szCs w:val="22"/>
        </w:rPr>
        <w:t xml:space="preserve">Découvrir et mobiliser l’ensemble de l’écosystème de financement tunisien</w:t>
      </w:r>
    </w:p>
    <w:p>
      <w:pPr>
        <w:spacing w:after="100"/>
        <w:jc w:val="left"/>
      </w:pPr>
      <w:r>
        <w:rPr>
          <w:rFonts w:ascii="Calibri" w:cs="Calibri" w:eastAsia="Calibri" w:hAnsi="Calibri"/>
          <w:b/>
          <w:bCs/>
          <w:color w:val="28251D"/>
          <w:sz w:val="22"/>
          <w:szCs w:val="22"/>
        </w:rPr>
        <w:t xml:space="preserve">Édition 2025 - 2026</w:t>
      </w:r>
    </w:p>
    <w:p>
      <w:pPr>
        <w:spacing w:after="60"/>
        <w:jc w:val="left"/>
      </w:pPr>
      <w:r>
        <w:rPr>
          <w:rFonts w:ascii="Calibri" w:cs="Calibri" w:eastAsia="Calibri" w:hAnsi="Calibri"/>
          <w:color w:val="28251D"/>
          <w:sz w:val="22"/>
          <w:szCs w:val="22"/>
        </w:rPr>
        <w:t xml:space="preserve">Bouzguenda Training Center</w:t>
      </w:r>
    </w:p>
    <w:p>
      <w:pPr>
        <w:jc w:val="left"/>
      </w:pPr>
      <w:r>
        <w:rPr>
          <w:rFonts w:ascii="Calibri" w:cs="Calibri" w:eastAsia="Calibri" w:hAnsi="Calibri"/>
          <w:i/>
          <w:iCs/>
          <w:color w:val="7A7974"/>
          <w:sz w:val="20"/>
          <w:szCs w:val="20"/>
        </w:rPr>
        <w:t xml:space="preserve">Ridha Bouzguenda — Expert Comptable &amp; Consultant</w:t>
      </w:r>
    </w:p>
    <w:p>
      <w:pPr>
        <w:sectPr>
          <w:pgSz w:w="11906" w:h="16838" w:orient="portrait"/>
          <w:pgMar w:top="1440" w:right="1440" w:bottom="1440" w:left="1440" w:header="708" w:footer="708" w:gutter="0"/>
          <w:pgNumType/>
          <w:docGrid w:linePitch="360"/>
        </w:sectPr>
      </w:pPr>
    </w:p>
    <w:p>
      <w:pPr>
        <w:pStyle w:val="Heading1"/>
        <w:spacing w:after="240" w:before="240"/>
      </w:pPr>
      <w:r>
        <w:rPr>
          <w:rFonts w:ascii="Calibri" w:cs="Calibri" w:eastAsia="Calibri" w:hAnsi="Calibri"/>
          <w:b/>
          <w:bCs/>
          <w:color w:val="01696F"/>
          <w:sz w:val="40"/>
          <w:szCs w:val="40"/>
        </w:rPr>
        <w:t xml:space="preserve">Préface</w:t>
      </w:r>
    </w:p>
    <w:p>
      <w:pPr>
        <w:spacing w:after="140" w:line="320"/>
        <w:jc w:val="both"/>
      </w:pPr>
      <w:r>
        <w:rPr>
          <w:rFonts w:ascii="Calibri" w:cs="Calibri" w:eastAsia="Calibri" w:hAnsi="Calibri"/>
          <w:color w:val="28251D"/>
          <w:sz w:val="22"/>
          <w:szCs w:val="22"/>
        </w:rPr>
        <w:t xml:space="preserve">Le financement constitue la première barrière à la création et au développement des Petites et Moyennes Entreprises en Tunisie. Selon la Banque de Financement des PME (BFPME), le déficit annuel de financement des PME tunisiennes est estimé à environ 3,4 milliards de dinars. Pourtant, l’écosystème financier tunisien offre aujourd’hui une diversité remarquable de dispositifs : banques commerciales, banques de développement, microfinance, fonds publics, capital-investissement, business angels, bailleurs internationaux, finance islamique, crowdfunding.</w:t>
      </w:r>
    </w:p>
    <w:p>
      <w:pPr>
        <w:spacing w:after="140" w:line="320"/>
        <w:jc w:val="both"/>
      </w:pPr>
      <w:r>
        <w:rPr>
          <w:rFonts w:ascii="Calibri" w:cs="Calibri" w:eastAsia="Calibri" w:hAnsi="Calibri"/>
          <w:color w:val="28251D"/>
          <w:sz w:val="22"/>
          <w:szCs w:val="22"/>
        </w:rPr>
        <w:t xml:space="preserve">Le problème n’est donc pas l’absence de financement, mais la méconnaissance de l’offre disponible et la difficulté à articuler ces différents dispositifs entre eux. Beaucoup d’entrepreneurs s’adressent à une seule banque, ignorent l’existence de la garantie SOTUGAR, négligent les primes étatiques accordées par l’APII ou l’APIA, ne soupçonnent pas qu’une participation FOPRODI peut couvrir jusqu’à 60% de leur capital, ou laissent passer la possibilité d’obtenir le Label Startup avec ses 8 ans d’exonération fiscale.</w:t>
      </w:r>
    </w:p>
    <w:p>
      <w:pPr>
        <w:spacing w:after="140" w:line="320"/>
        <w:jc w:val="both"/>
      </w:pPr>
      <w:r>
        <w:rPr>
          <w:rFonts w:ascii="Calibri" w:cs="Calibri" w:eastAsia="Calibri" w:hAnsi="Calibri"/>
          <w:color w:val="28251D"/>
          <w:sz w:val="22"/>
          <w:szCs w:val="22"/>
        </w:rPr>
        <w:t xml:space="preserve">Ce livre blanc a été conçu comme un guide pratique. Il couvre l’ensemble de l’écosystème de financement des PME tunisiennes en 2025 - 2026, depuis le microcrédit de 10 000 DT jusqu’aux tours de financement de plusieurs millions d’euros levés auprès de fonds internationaux. Chaque dispositif est présenté avec ses conditions précises (montants, taux, durées, garanties), ses critères d’éligibilité et la procédure à suivre. Une dernière partie offre un guide opérationnel pour monter un dossier de financement bancable.</w:t>
      </w:r>
    </w:p>
    <w:p>
      <w:pPr>
        <w:spacing w:after="140" w:line="320"/>
        <w:jc w:val="both"/>
      </w:pPr>
      <w:r>
        <w:rPr>
          <w:rFonts w:ascii="Calibri" w:cs="Calibri" w:eastAsia="Calibri" w:hAnsi="Calibri"/>
          <w:color w:val="28251D"/>
          <w:sz w:val="22"/>
          <w:szCs w:val="22"/>
        </w:rPr>
        <w:t xml:space="preserve">Que vous soyez artisan, jeune diplômé, dirigeant de TPE en croissance, fondateur de startup tech ou repreneur d’entreprise, vous trouverez dans ce document les clés pour identifier la combinaison de dispositifs la mieux adaptée à votre projet.</w:t>
      </w:r>
    </w:p>
    <w:p>
      <w:pPr>
        <w:spacing w:after="2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100"/>
            </w:pPr>
            <w:r>
              <w:rPr>
                <w:rFonts w:ascii="Calibri" w:cs="Calibri" w:eastAsia="Calibri" w:hAnsi="Calibri"/>
                <w:b/>
                <w:bCs/>
                <w:color w:val="0C4E54"/>
                <w:sz w:val="22"/>
                <w:szCs w:val="22"/>
              </w:rPr>
              <w:t xml:space="preserve">Note méthodologique</w:t>
            </w:r>
          </w:p>
          <w:p>
            <w:r>
              <w:rPr>
                <w:rFonts w:ascii="Calibri" w:cs="Calibri" w:eastAsia="Calibri" w:hAnsi="Calibri"/>
                <w:color w:val="28251D"/>
                <w:sz w:val="20"/>
                <w:szCs w:val="20"/>
              </w:rPr>
              <w:t xml:space="preserve">Les informations présentées dans ce livre blanc sont issues de sources primaires tunisiennes et internationales : Banque Centrale de Tunisie (BCT), Conseil du Marché Financier (CMF), APII, APIA, BFPME, BTS Bank, SOTUGAR, Smart Capital, Startup Tunisia, ainsi que les bailleurs internationaux BEI, BERD, AFD, Banque Mondiale, GIZ et KfW. Les données financières (taux, plafonds, conditions) sont à jour au premier semestre 2025. Les conditions réglementaires et tarifaires étant susceptibles d’évoluer, il est recommandé de vérifier les informations auprès des organismes concernés avant tout engagement.</w:t>
            </w:r>
          </w:p>
        </w:tc>
      </w:tr>
    </w:tbl>
    <w:p>
      <w:pPr>
        <w:pStyle w:val="Heading1"/>
        <w:pageBreakBefore/>
        <w:spacing w:after="240" w:before="240"/>
      </w:pPr>
      <w:r>
        <w:rPr>
          <w:rFonts w:ascii="Calibri" w:cs="Calibri" w:eastAsia="Calibri" w:hAnsi="Calibri"/>
          <w:b/>
          <w:bCs/>
          <w:color w:val="01696F"/>
          <w:sz w:val="40"/>
          <w:szCs w:val="40"/>
        </w:rPr>
        <w:t xml:space="preserve">Table des matières</w:t>
      </w:r>
    </w:p>
    <w:sdt>
      <w:sdtPr>
        <w:alias w:val="Sommaire"/>
      </w:sdtPr>
      <w:sdtContent>
        <w:p>
          <w:r>
            <w:fldChar w:fldCharType="begin" w:dirty="true"/>
            <w:instrText xml:space="preserve">TOC \h \o "1-3"</w:instrText>
            <w:fldChar w:fldCharType="separate"/>
          </w:r>
        </w:p>
        <w:p>
          <w:r>
            <w:fldChar w:fldCharType="end"/>
          </w:r>
        </w:p>
      </w:sdtContent>
    </w:sdt>
    <w:p>
      <w:pPr>
        <w:pStyle w:val="Heading1"/>
        <w:pageBreakBefore/>
        <w:spacing w:after="240" w:before="480"/>
      </w:pPr>
      <w:r>
        <w:rPr>
          <w:rFonts w:ascii="Calibri" w:cs="Calibri" w:eastAsia="Calibri" w:hAnsi="Calibri"/>
          <w:b/>
          <w:bCs/>
          <w:color w:val="01696F"/>
          <w:sz w:val="40"/>
          <w:szCs w:val="40"/>
        </w:rPr>
        <w:t xml:space="preserve">Résumé exécutif</w:t>
      </w:r>
    </w:p>
    <w:p>
      <w:pPr>
        <w:spacing w:after="140" w:line="320"/>
        <w:jc w:val="both"/>
      </w:pPr>
      <w:r>
        <w:rPr>
          <w:rFonts w:ascii="Calibri" w:cs="Calibri" w:eastAsia="Calibri" w:hAnsi="Calibri"/>
          <w:color w:val="28251D"/>
          <w:sz w:val="22"/>
          <w:szCs w:val="22"/>
        </w:rPr>
        <w:t xml:space="preserve">La Tunisie compte près de 825 000 entreprises fin 2023, dont environ 97 000 PME (1 à 199 salariés). Ce tissu productif fait face à un déficit chronique de financement, principalement dû à l’asymétrie d’information avec les banques, à l’exigence de garanties réelles élevées, et à la faiblesse structurelle des fonds propres. Pourtant, l’écosystème de financement s’est considérablement diversifié et étoffé au cours de la dernière décennie.</w:t>
      </w:r>
    </w:p>
    <w:p>
      <w:pPr>
        <w:pStyle w:val="Heading3"/>
        <w:spacing w:after="120" w:before="240"/>
      </w:pPr>
      <w:r>
        <w:rPr>
          <w:rFonts w:ascii="Calibri" w:cs="Calibri" w:eastAsia="Calibri" w:hAnsi="Calibri"/>
          <w:b/>
          <w:bCs/>
          <w:color w:val="28251D"/>
          <w:sz w:val="24"/>
          <w:szCs w:val="24"/>
        </w:rPr>
        <w:t xml:space="preserve">Les huit grandes familles de financement</w:t>
      </w:r>
    </w:p>
    <w:p>
      <w:pPr>
        <w:pStyle w:val="ListParagraph"/>
        <w:numPr>
          <w:ilvl w:val="0"/>
          <w:numId w:val="2"/>
        </w:numPr>
        <w:spacing w:after="80" w:line="300"/>
      </w:pPr>
      <w:r>
        <w:rPr>
          <w:rFonts w:ascii="Calibri" w:cs="Calibri" w:eastAsia="Calibri" w:hAnsi="Calibri"/>
          <w:color w:val="28251D"/>
          <w:sz w:val="22"/>
          <w:szCs w:val="22"/>
        </w:rPr>
        <w:t xml:space="preserve">Le financement bancaire classique : 23 banques agréées proposent crédits court, moyen et long terme, leasing et factoring.</w:t>
      </w:r>
    </w:p>
    <w:p>
      <w:pPr>
        <w:pStyle w:val="ListParagraph"/>
        <w:numPr>
          <w:ilvl w:val="0"/>
          <w:numId w:val="2"/>
        </w:numPr>
        <w:spacing w:after="80" w:line="300"/>
      </w:pPr>
      <w:r>
        <w:rPr>
          <w:rFonts w:ascii="Calibri" w:cs="Calibri" w:eastAsia="Calibri" w:hAnsi="Calibri"/>
          <w:color w:val="28251D"/>
          <w:sz w:val="22"/>
          <w:szCs w:val="22"/>
        </w:rPr>
        <w:t xml:space="preserve">Les institutions spécialisées : BFPME (jusqu’à 2,5 MDT), BTS Bank (jusqu’à 200 000 DT) et SOTUGAR (garantie 50 à 75% du crédit).</w:t>
      </w:r>
    </w:p>
    <w:p>
      <w:pPr>
        <w:pStyle w:val="ListParagraph"/>
        <w:numPr>
          <w:ilvl w:val="0"/>
          <w:numId w:val="2"/>
        </w:numPr>
        <w:spacing w:after="80" w:line="300"/>
      </w:pPr>
      <w:r>
        <w:rPr>
          <w:rFonts w:ascii="Calibri" w:cs="Calibri" w:eastAsia="Calibri" w:hAnsi="Calibri"/>
          <w:color w:val="28251D"/>
          <w:sz w:val="22"/>
          <w:szCs w:val="22"/>
        </w:rPr>
        <w:t xml:space="preserve">La microfinance : plafonds légaux de 40 000 DT, Enda Tamweel et Taysir comme acteurs principaux.</w:t>
      </w:r>
    </w:p>
    <w:p>
      <w:pPr>
        <w:pStyle w:val="ListParagraph"/>
        <w:numPr>
          <w:ilvl w:val="0"/>
          <w:numId w:val="2"/>
        </w:numPr>
        <w:spacing w:after="80" w:line="300"/>
      </w:pPr>
      <w:r>
        <w:rPr>
          <w:rFonts w:ascii="Calibri" w:cs="Calibri" w:eastAsia="Calibri" w:hAnsi="Calibri"/>
          <w:color w:val="28251D"/>
          <w:sz w:val="22"/>
          <w:szCs w:val="22"/>
        </w:rPr>
        <w:t xml:space="preserve">Les dispositifs étatiques : FONAPRAM, FOPRODI, FTI, primes APII et APIA, fonds CDC.</w:t>
      </w:r>
    </w:p>
    <w:p>
      <w:pPr>
        <w:pStyle w:val="ListParagraph"/>
        <w:numPr>
          <w:ilvl w:val="0"/>
          <w:numId w:val="2"/>
        </w:numPr>
        <w:spacing w:after="80" w:line="300"/>
      </w:pPr>
      <w:r>
        <w:rPr>
          <w:rFonts w:ascii="Calibri" w:cs="Calibri" w:eastAsia="Calibri" w:hAnsi="Calibri"/>
          <w:color w:val="28251D"/>
          <w:sz w:val="22"/>
          <w:szCs w:val="22"/>
        </w:rPr>
        <w:t xml:space="preserve">Le Startup Act : Label permettant 8 ans d’exonération fiscale, bourse VRR et accès aux devises.</w:t>
      </w:r>
    </w:p>
    <w:p>
      <w:pPr>
        <w:pStyle w:val="ListParagraph"/>
        <w:numPr>
          <w:ilvl w:val="0"/>
          <w:numId w:val="2"/>
        </w:numPr>
        <w:spacing w:after="80" w:line="300"/>
      </w:pPr>
      <w:r>
        <w:rPr>
          <w:rFonts w:ascii="Calibri" w:cs="Calibri" w:eastAsia="Calibri" w:hAnsi="Calibri"/>
          <w:color w:val="28251D"/>
          <w:sz w:val="22"/>
          <w:szCs w:val="22"/>
        </w:rPr>
        <w:t xml:space="preserve">Le capital-investissement : SICAR historiques + nouvelle génération de fonds VC (216 Capital, Flat6Labs, AfricInvest, Rasmal).</w:t>
      </w:r>
    </w:p>
    <w:p>
      <w:pPr>
        <w:pStyle w:val="ListParagraph"/>
        <w:numPr>
          <w:ilvl w:val="0"/>
          <w:numId w:val="2"/>
        </w:numPr>
        <w:spacing w:after="80" w:line="300"/>
      </w:pPr>
      <w:r>
        <w:rPr>
          <w:rFonts w:ascii="Calibri" w:cs="Calibri" w:eastAsia="Calibri" w:hAnsi="Calibri"/>
          <w:color w:val="28251D"/>
          <w:sz w:val="22"/>
          <w:szCs w:val="22"/>
        </w:rPr>
        <w:t xml:space="preserve">Les bailleurs internationaux : BEI (170 M€ en 2024), BERD, AFD/Proparco, GIZ, KfW, IFC.</w:t>
      </w:r>
    </w:p>
    <w:p>
      <w:pPr>
        <w:pStyle w:val="ListParagraph"/>
        <w:numPr>
          <w:ilvl w:val="0"/>
          <w:numId w:val="2"/>
        </w:numPr>
        <w:spacing w:after="80" w:line="300"/>
      </w:pPr>
      <w:r>
        <w:rPr>
          <w:rFonts w:ascii="Calibri" w:cs="Calibri" w:eastAsia="Calibri" w:hAnsi="Calibri"/>
          <w:color w:val="28251D"/>
          <w:sz w:val="22"/>
          <w:szCs w:val="22"/>
        </w:rPr>
        <w:t xml:space="preserve">La finance islamique : Mourabaha, Ijara, Moudharaba et Moucharaka via Zitouna, Al Baraka et Wifak.</w:t>
      </w:r>
    </w:p>
    <w:p>
      <w:pPr>
        <w:pStyle w:val="Heading3"/>
        <w:spacing w:after="120" w:before="240"/>
      </w:pPr>
      <w:r>
        <w:rPr>
          <w:rFonts w:ascii="Calibri" w:cs="Calibri" w:eastAsia="Calibri" w:hAnsi="Calibri"/>
          <w:b/>
          <w:bCs/>
          <w:color w:val="28251D"/>
          <w:sz w:val="24"/>
          <w:szCs w:val="24"/>
        </w:rPr>
        <w:t xml:space="preserve">Trois enseignements clés</w:t>
      </w:r>
    </w:p>
    <w:p>
      <w:pPr>
        <w:spacing w:after="140" w:line="320"/>
        <w:jc w:val="both"/>
      </w:pPr>
      <w:r>
        <w:rPr>
          <w:rFonts w:ascii="Calibri" w:cs="Calibri" w:eastAsia="Calibri" w:hAnsi="Calibri"/>
          <w:b/>
          <w:bCs/>
          <w:color w:val="28251D"/>
          <w:sz w:val="22"/>
          <w:szCs w:val="22"/>
        </w:rPr>
        <w:t xml:space="preserve">Premièrement, aucune source unique ne suffit. </w:t>
      </w:r>
      <w:r>
        <w:rPr>
          <w:rFonts w:ascii="Calibri" w:cs="Calibri" w:eastAsia="Calibri" w:hAnsi="Calibri"/>
          <w:color w:val="28251D"/>
          <w:sz w:val="22"/>
          <w:szCs w:val="22"/>
        </w:rPr>
        <w:t xml:space="preserve">Un montage de financement optimal combine systématiquement plusieurs dispositifs : apport personnel, crédit bancaire classique, garantie SOTUGAR, prime de développement régional, participation SICAR et éventuellement subvention internationale.</w:t>
      </w:r>
    </w:p>
    <w:p>
      <w:pPr>
        <w:spacing w:after="140" w:line="320"/>
        <w:jc w:val="both"/>
      </w:pPr>
      <w:r>
        <w:rPr>
          <w:rFonts w:ascii="Calibri" w:cs="Calibri" w:eastAsia="Calibri" w:hAnsi="Calibri"/>
          <w:b/>
          <w:bCs/>
          <w:color w:val="28251D"/>
          <w:sz w:val="22"/>
          <w:szCs w:val="22"/>
        </w:rPr>
        <w:t xml:space="preserve">Deuxièmement, la garantie est plus déterminante que le taux. </w:t>
      </w:r>
      <w:r>
        <w:rPr>
          <w:rFonts w:ascii="Calibri" w:cs="Calibri" w:eastAsia="Calibri" w:hAnsi="Calibri"/>
          <w:color w:val="28251D"/>
          <w:sz w:val="22"/>
          <w:szCs w:val="22"/>
        </w:rPr>
        <w:t xml:space="preserve">Beaucoup d’entrepreneurs négocient âprement la marge bancaire alors que la véritable difficulté réside dans la couverture des garanties exigées. La garantie SOTUGAR, méconnue, peut souvent remplacer les garanties réelles externes.</w:t>
      </w:r>
    </w:p>
    <w:p>
      <w:pPr>
        <w:spacing w:after="140" w:line="320"/>
        <w:jc w:val="both"/>
      </w:pPr>
      <w:r>
        <w:rPr>
          <w:rFonts w:ascii="Calibri" w:cs="Calibri" w:eastAsia="Calibri" w:hAnsi="Calibri"/>
          <w:b/>
          <w:bCs/>
          <w:color w:val="28251D"/>
          <w:sz w:val="22"/>
          <w:szCs w:val="22"/>
        </w:rPr>
        <w:t xml:space="preserve">Troisièmement, le Label Startup change radicalement l’équation. </w:t>
      </w:r>
      <w:r>
        <w:rPr>
          <w:rFonts w:ascii="Calibri" w:cs="Calibri" w:eastAsia="Calibri" w:hAnsi="Calibri"/>
          <w:color w:val="28251D"/>
          <w:sz w:val="22"/>
          <w:szCs w:val="22"/>
        </w:rPr>
        <w:t xml:space="preserve">Pour les projets innovants, l’obtention du Label ouvre l’accès à des avantages cumulatifs (fiscalité zéro, devises, financements VC) qu’aucun autre dispositif ne procure.</w:t>
      </w:r>
    </w:p>
    <w:p>
      <w:pPr>
        <w:pStyle w:val="Heading1"/>
        <w:pageBreakBefore/>
        <w:spacing w:after="240" w:before="480"/>
      </w:pPr>
      <w:r>
        <w:rPr>
          <w:rFonts w:ascii="Calibri" w:cs="Calibri" w:eastAsia="Calibri" w:hAnsi="Calibri"/>
          <w:b/>
          <w:bCs/>
          <w:color w:val="01696F"/>
          <w:sz w:val="40"/>
          <w:szCs w:val="40"/>
        </w:rPr>
        <w:t xml:space="preserve">Chapitre 1 — Le cadre général du financement des PME en Tunisie</w:t>
      </w:r>
    </w:p>
    <w:p>
      <w:pPr>
        <w:pStyle w:val="Heading2"/>
        <w:spacing w:after="160" w:before="320"/>
      </w:pPr>
      <w:r>
        <w:rPr>
          <w:rFonts w:ascii="Calibri" w:cs="Calibri" w:eastAsia="Calibri" w:hAnsi="Calibri"/>
          <w:b/>
          <w:bCs/>
          <w:color w:val="0C4E54"/>
          <w:sz w:val="30"/>
          <w:szCs w:val="30"/>
        </w:rPr>
        <w:t xml:space="preserve">1.1 La définition juridique de la PME en Tunisie</w:t>
      </w:r>
    </w:p>
    <w:p>
      <w:pPr>
        <w:spacing w:after="140" w:line="320"/>
        <w:jc w:val="both"/>
      </w:pPr>
      <w:r>
        <w:rPr>
          <w:rFonts w:ascii="Calibri" w:cs="Calibri" w:eastAsia="Calibri" w:hAnsi="Calibri"/>
          <w:color w:val="28251D"/>
          <w:sz w:val="22"/>
          <w:szCs w:val="22"/>
        </w:rPr>
        <w:t xml:space="preserve">Contrairement à l’Union Européenne qui a adopté une définition unique de la PME (recommandation 2003 / 361 / CE), la Tunisie ne dispose pas d’un texte unique de référence. La qualification d’une entreprise comme PME dépend du cadre réglementaire appliqué : Code des investissements, Startup Act, FOPRODI, Conseil du Marché Financier, ou statistiques INS. Ce flou définitionnel a une conséquence pratique pour l’entrepreneur : il faut vérifier la définition utilisée par le dispositif sollicité avant de constituer un dossier.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760"/>
        <w:gridCol w:w="2000"/>
      </w:tblGrid>
      <w:tr>
        <w:trPr>
          <w:tblHeader/>
        </w:trPr>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Référentiel</w:t>
            </w:r>
          </w:p>
        </w:tc>
        <w:tc>
          <w:tcPr>
            <w:tcW w:type="dxa" w:w="4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Critères principaux</w:t>
            </w:r>
          </w:p>
        </w:tc>
        <w:tc>
          <w:tcPr>
            <w:tcW w:type="dxa" w:w="2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Texte applicable</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 (référence opérationnelle)</w:t>
            </w:r>
          </w:p>
        </w:tc>
        <w:tc>
          <w:tcPr>
            <w:tcW w:type="dxa" w:w="4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Investissement entre 100 000 DT et 15 millions DT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Statuts BFPME</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Act</w:t>
            </w:r>
          </w:p>
        </w:tc>
        <w:tc>
          <w:tcPr>
            <w:tcW w:type="dxa" w:w="4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Moins de 8 ans, &lt; 100 employés, CA ou bilan &lt; 15 MDT</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2018-20</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FOPRODI</w:t>
            </w:r>
          </w:p>
        </w:tc>
        <w:tc>
          <w:tcPr>
            <w:tcW w:type="dxa" w:w="4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 investissement ≤ 5 MDT ; petite entreprise ≤ 100 000 DT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Décret n° 2009-36</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CMF (participations étrangères)</w:t>
            </w:r>
          </w:p>
        </w:tc>
        <w:tc>
          <w:tcPr>
            <w:tcW w:type="dxa" w:w="4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Actifs nets immobilisés &lt; 4 MDT ; effectif &lt; 300</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Décret n° 77-608 art. 21 bis</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INS (classification statistique)</w:t>
            </w:r>
          </w:p>
        </w:tc>
        <w:tc>
          <w:tcPr>
            <w:tcW w:type="dxa" w:w="4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 &lt; 6 ; petite 6 à 49 ; moyenne 50 à 199</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Répertoire National des Entreprises</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Code des investissements 2016</w:t>
            </w:r>
          </w:p>
        </w:tc>
        <w:tc>
          <w:tcPr>
            <w:tcW w:type="dxa" w:w="4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Avantages plafonnés aux projets ≤ 15 MDT</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2016-71</w:t>
            </w:r>
          </w:p>
        </w:tc>
      </w:tr>
    </w:tbl>
    <w:p>
      <w:pPr>
        <w:spacing w:after="160"/>
      </w:pPr>
      <w:r>
        <w:rPr>
          <w:rFonts w:ascii="Calibri" w:cs="Calibri" w:eastAsia="Calibri" w:hAnsi="Calibri"/>
        </w:rPr>
        <w:t xml:space="preserve"/>
      </w:r>
    </w:p>
    <w:p>
      <w:pPr>
        <w:spacing w:after="140" w:line="320"/>
        <w:jc w:val="both"/>
      </w:pPr>
      <w:r>
        <w:rPr>
          <w:rFonts w:ascii="Calibri" w:cs="Calibri" w:eastAsia="Calibri" w:hAnsi="Calibri"/>
          <w:color w:val="28251D"/>
          <w:sz w:val="22"/>
          <w:szCs w:val="22"/>
        </w:rPr>
        <w:t xml:space="preserve">Consensus pratique : on retient généralement qu’une PME tunisienne emploie entre 10 et 100 personnes, même si cette définition ne figure dans aucun texte officiel. Pour les besoins de ce livre blanc, nous adoptons la définition large de la BFPME (investissement entre 100 000 DT et 15 millions DT) qui couvre la quasi-totalité des dispositifs présentés.</w:t>
      </w:r>
    </w:p>
    <w:p>
      <w:pPr>
        <w:pStyle w:val="Heading2"/>
        <w:spacing w:after="160" w:before="320"/>
      </w:pPr>
      <w:r>
        <w:rPr>
          <w:rFonts w:ascii="Calibri" w:cs="Calibri" w:eastAsia="Calibri" w:hAnsi="Calibri"/>
          <w:b/>
          <w:bCs/>
          <w:color w:val="0C4E54"/>
          <w:sz w:val="30"/>
          <w:szCs w:val="30"/>
        </w:rPr>
        <w:t xml:space="preserve">1.2 Le tissu PME tunisien en chiffres</w:t>
      </w:r>
    </w:p>
    <w:p>
      <w:pPr>
        <w:spacing w:after="140" w:line="320"/>
        <w:jc w:val="both"/>
      </w:pPr>
      <w:r>
        <w:rPr>
          <w:rFonts w:ascii="Calibri" w:cs="Calibri" w:eastAsia="Calibri" w:hAnsi="Calibri"/>
          <w:color w:val="28251D"/>
          <w:sz w:val="22"/>
          <w:szCs w:val="22"/>
        </w:rPr>
        <w:t xml:space="preserve">Selon les dernières données du Répertoire National des Entreprises (INS) et de Managers (juin 2025), la Tunisie comptait fin 2023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Indicateur</w:t>
            </w:r>
          </w:p>
        </w:tc>
        <w:tc>
          <w:tcPr>
            <w:tcW w:type="dxa" w:w="3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Valeur</w:t>
            </w:r>
          </w:p>
        </w:tc>
      </w:tr>
      <w:tr>
        <w:tc>
          <w:tcPr>
            <w:tcW w:type="dxa" w:w="6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Nombre total d’entreprises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824 593</w:t>
            </w:r>
          </w:p>
        </w:tc>
      </w:tr>
      <w:tr>
        <w:tc>
          <w:tcPr>
            <w:tcW w:type="dxa" w:w="6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individuelles (0 salarié)</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721 075 (87,4 %)</w:t>
            </w:r>
          </w:p>
        </w:tc>
      </w:tr>
      <w:tr>
        <w:tc>
          <w:tcPr>
            <w:tcW w:type="dxa" w:w="6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(1 à 199 salariés)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~97 000</w:t>
            </w:r>
          </w:p>
        </w:tc>
      </w:tr>
      <w:tr>
        <w:tc>
          <w:tcPr>
            <w:tcW w:type="dxa" w:w="6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Grandes entreprises (≥ 200 salariés)</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897</w:t>
            </w:r>
          </w:p>
        </w:tc>
      </w:tr>
      <w:tr>
        <w:tc>
          <w:tcPr>
            <w:tcW w:type="dxa" w:w="6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industrielles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93 577</w:t>
            </w:r>
          </w:p>
        </w:tc>
      </w:tr>
      <w:tr>
        <w:tc>
          <w:tcPr>
            <w:tcW w:type="dxa" w:w="6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commerciales</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334 799</w:t>
            </w:r>
          </w:p>
        </w:tc>
      </w:tr>
      <w:tr>
        <w:tc>
          <w:tcPr>
            <w:tcW w:type="dxa" w:w="6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Sociétés à Responsabilité Limitée (SARL)</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146 524</w:t>
            </w:r>
          </w:p>
        </w:tc>
      </w:tr>
      <w:tr>
        <w:tc>
          <w:tcPr>
            <w:tcW w:type="dxa" w:w="6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Sociétés Anonymes (SA)</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6 420</w:t>
            </w:r>
          </w:p>
        </w:tc>
      </w:tr>
      <w:tr>
        <w:tc>
          <w:tcPr>
            <w:tcW w:type="dxa" w:w="6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SUARL</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45 571</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Une économie dominée par les très petites entreprises</w:t>
      </w:r>
    </w:p>
    <w:p>
      <w:pPr>
        <w:spacing w:after="140" w:line="320"/>
        <w:jc w:val="both"/>
      </w:pPr>
      <w:r>
        <w:rPr>
          <w:rFonts w:ascii="Calibri" w:cs="Calibri" w:eastAsia="Calibri" w:hAnsi="Calibri"/>
          <w:color w:val="28251D"/>
          <w:sz w:val="22"/>
          <w:szCs w:val="22"/>
        </w:rPr>
        <w:t xml:space="preserve">Le constat est frappant : plus de 87% des entreprises tunisiennes sont des entreprises individuelles sans salarié. Le segment des PME structurées (1 à 199 salariés) ne représente qu’environ 12% du tissu productif. C’est précisément ce segment intermédiaire qui peine le plus à se financer : trop grand pour la microfinance, trop petit ou trop risqué pour les financements classiques.</w:t>
      </w:r>
    </w:p>
    <w:p>
      <w:pPr>
        <w:pStyle w:val="Heading2"/>
        <w:spacing w:after="160" w:before="320"/>
      </w:pPr>
      <w:r>
        <w:rPr>
          <w:rFonts w:ascii="Calibri" w:cs="Calibri" w:eastAsia="Calibri" w:hAnsi="Calibri"/>
          <w:b/>
          <w:bCs/>
          <w:color w:val="0C4E54"/>
          <w:sz w:val="30"/>
          <w:szCs w:val="30"/>
        </w:rPr>
        <w:t xml:space="preserve">1.3 Les sept défis structurels d’accès au financement</w:t>
      </w:r>
    </w:p>
    <w:p>
      <w:pPr>
        <w:pStyle w:val="ListParagraph"/>
        <w:numPr>
          <w:ilvl w:val="0"/>
          <w:numId w:val="3"/>
        </w:numPr>
        <w:spacing w:after="100" w:line="300"/>
      </w:pPr>
      <w:r>
        <w:rPr>
          <w:rFonts w:ascii="Calibri" w:cs="Calibri" w:eastAsia="Calibri" w:hAnsi="Calibri"/>
          <w:color w:val="28251D"/>
          <w:sz w:val="22"/>
          <w:szCs w:val="22"/>
        </w:rPr>
        <w:t xml:space="preserve">L’asymétrie d’information : les banques manquent de données fiables sur les PME, en particulier celles évoluant dans l’informel ou sous-capitalisées.</w:t>
      </w:r>
    </w:p>
    <w:p>
      <w:pPr>
        <w:pStyle w:val="ListParagraph"/>
        <w:numPr>
          <w:ilvl w:val="0"/>
          <w:numId w:val="3"/>
        </w:numPr>
        <w:spacing w:after="100" w:line="300"/>
      </w:pPr>
      <w:r>
        <w:rPr>
          <w:rFonts w:ascii="Calibri" w:cs="Calibri" w:eastAsia="Calibri" w:hAnsi="Calibri"/>
          <w:color w:val="28251D"/>
          <w:sz w:val="22"/>
          <w:szCs w:val="22"/>
        </w:rPr>
        <w:t xml:space="preserve">Les exigences de garanties réelles : hypothèques et nantissements sont systématiquement demandés, alors que les PME en démarrage n’en disposent pas.</w:t>
      </w:r>
    </w:p>
    <w:p>
      <w:pPr>
        <w:pStyle w:val="ListParagraph"/>
        <w:numPr>
          <w:ilvl w:val="0"/>
          <w:numId w:val="3"/>
        </w:numPr>
        <w:spacing w:after="100" w:line="300"/>
      </w:pPr>
      <w:r>
        <w:rPr>
          <w:rFonts w:ascii="Calibri" w:cs="Calibri" w:eastAsia="Calibri" w:hAnsi="Calibri"/>
          <w:color w:val="28251D"/>
          <w:sz w:val="22"/>
          <w:szCs w:val="22"/>
        </w:rPr>
        <w:t xml:space="preserve">La faiblesse des fonds propres : un ratio fonds propres / total bilan inférieur à 25% disqualifie souvent un dossier.</w:t>
      </w:r>
    </w:p>
    <w:p>
      <w:pPr>
        <w:pStyle w:val="ListParagraph"/>
        <w:numPr>
          <w:ilvl w:val="0"/>
          <w:numId w:val="3"/>
        </w:numPr>
        <w:spacing w:after="100" w:line="300"/>
      </w:pPr>
      <w:r>
        <w:rPr>
          <w:rFonts w:ascii="Calibri" w:cs="Calibri" w:eastAsia="Calibri" w:hAnsi="Calibri"/>
          <w:color w:val="28251D"/>
          <w:sz w:val="22"/>
          <w:szCs w:val="22"/>
        </w:rPr>
        <w:t xml:space="preserve">La prédominance du court terme : les crédits d’exploitation dominent l’offre, au détriment de l’investissement à long terme.</w:t>
      </w:r>
    </w:p>
    <w:p>
      <w:pPr>
        <w:pStyle w:val="ListParagraph"/>
        <w:numPr>
          <w:ilvl w:val="0"/>
          <w:numId w:val="3"/>
        </w:numPr>
        <w:spacing w:after="100" w:line="300"/>
      </w:pPr>
      <w:r>
        <w:rPr>
          <w:rFonts w:ascii="Calibri" w:cs="Calibri" w:eastAsia="Calibri" w:hAnsi="Calibri"/>
          <w:color w:val="28251D"/>
          <w:sz w:val="22"/>
          <w:szCs w:val="22"/>
        </w:rPr>
        <w:t xml:space="preserve">Le coût élevé du crédit : avec un Taux du Marché Monétaire (TMM) à environ 7,5 - 8 % en 2024 - 2025, les taux effectifs PME atteignent souvent 10 à 13 %.</w:t>
      </w:r>
    </w:p>
    <w:p>
      <w:pPr>
        <w:pStyle w:val="ListParagraph"/>
        <w:numPr>
          <w:ilvl w:val="0"/>
          <w:numId w:val="3"/>
        </w:numPr>
        <w:spacing w:after="100" w:line="300"/>
      </w:pPr>
      <w:r>
        <w:rPr>
          <w:rFonts w:ascii="Calibri" w:cs="Calibri" w:eastAsia="Calibri" w:hAnsi="Calibri"/>
          <w:color w:val="28251D"/>
          <w:sz w:val="22"/>
          <w:szCs w:val="22"/>
        </w:rPr>
        <w:t xml:space="preserve">L’importance du secteur informel : une fraction significative de l’économie reste hors système bancaire et donc inéligible.</w:t>
      </w:r>
    </w:p>
    <w:p>
      <w:pPr>
        <w:pStyle w:val="ListParagraph"/>
        <w:numPr>
          <w:ilvl w:val="0"/>
          <w:numId w:val="3"/>
        </w:numPr>
        <w:spacing w:after="100" w:line="300"/>
      </w:pPr>
      <w:r>
        <w:rPr>
          <w:rFonts w:ascii="Calibri" w:cs="Calibri" w:eastAsia="Calibri" w:hAnsi="Calibri"/>
          <w:color w:val="28251D"/>
          <w:sz w:val="22"/>
          <w:szCs w:val="22"/>
        </w:rPr>
        <w:t xml:space="preserve">La concentration géographique : l’accès au financement est nettement plus difficile dans les régions intérieures qu’au littoral.</w:t>
      </w:r>
    </w:p>
    <w:p>
      <w:pPr>
        <w:pStyle w:val="Heading2"/>
        <w:spacing w:after="160" w:before="320"/>
      </w:pPr>
      <w:r>
        <w:rPr>
          <w:rFonts w:ascii="Calibri" w:cs="Calibri" w:eastAsia="Calibri" w:hAnsi="Calibri"/>
          <w:b/>
          <w:bCs/>
          <w:color w:val="0C4E54"/>
          <w:sz w:val="30"/>
          <w:szCs w:val="30"/>
        </w:rPr>
        <w:t xml:space="preserve">1.4 Le rôle pivot de la Banque Centrale de Tunisie</w:t>
      </w:r>
    </w:p>
    <w:p>
      <w:pPr>
        <w:spacing w:after="140" w:line="320"/>
        <w:jc w:val="both"/>
      </w:pPr>
      <w:r>
        <w:rPr>
          <w:rFonts w:ascii="Calibri" w:cs="Calibri" w:eastAsia="Calibri" w:hAnsi="Calibri"/>
          <w:color w:val="28251D"/>
          <w:sz w:val="22"/>
          <w:szCs w:val="22"/>
        </w:rPr>
        <w:t xml:space="preserve">La Banque Centrale de Tunisie (BCT) joue plusieurs rôles cruciaux dans l’écosystème de financement des PME. Elle fixe le Taux du Marché Monétaire (TMM) qui conditionne les taux appliqués aux entreprises. Elle supervise les 23 banques agréées dont trois banques islamiques. Elle régule également les sociétés de leasing, de factoring, les institutions de microfinance et désormais les plateformes de crowdfunding (circulaire n° 2023-06 sur le crowdlending). Enfin, elle pilote la Stratégie Nationale d’Inclusion Financière qui vise à élargir l’accès au crédit pour les ménages et entreprises sous-bancarisées.</w:t>
      </w:r>
    </w:p>
    <w:p>
      <w:pPr>
        <w:spacing w:after="140" w:line="320"/>
        <w:jc w:val="both"/>
      </w:pPr>
      <w:r>
        <w:rPr>
          <w:rFonts w:ascii="Calibri" w:cs="Calibri" w:eastAsia="Calibri" w:hAnsi="Calibri"/>
          <w:sz w:val="22"/>
          <w:szCs w:val="22"/>
        </w:rPr>
        <w:t xml:space="preserve">Pour les startups labellisées Startup Act, la BCT a publié les circulaires </w:t>
      </w:r>
      <w:r>
        <w:rPr>
          <w:rFonts w:ascii="Calibri" w:cs="Calibri" w:eastAsia="Calibri" w:hAnsi="Calibri"/>
          <w:b/>
          <w:bCs/>
          <w:sz w:val="22"/>
          <w:szCs w:val="22"/>
        </w:rPr>
        <w:t xml:space="preserve">n° 2019-01</w:t>
      </w:r>
      <w:r>
        <w:rPr>
          <w:rFonts w:ascii="Calibri" w:cs="Calibri" w:eastAsia="Calibri" w:hAnsi="Calibri"/>
          <w:sz w:val="22"/>
          <w:szCs w:val="22"/>
        </w:rPr>
        <w:t xml:space="preserve"> et </w:t>
      </w:r>
      <w:r>
        <w:rPr>
          <w:rFonts w:ascii="Calibri" w:cs="Calibri" w:eastAsia="Calibri" w:hAnsi="Calibri"/>
          <w:b/>
          <w:bCs/>
          <w:sz w:val="22"/>
          <w:szCs w:val="22"/>
        </w:rPr>
        <w:t xml:space="preserve">n° 2019-02</w:t>
      </w:r>
      <w:r>
        <w:rPr>
          <w:rFonts w:ascii="Calibri" w:cs="Calibri" w:eastAsia="Calibri" w:hAnsi="Calibri"/>
          <w:sz w:val="22"/>
          <w:szCs w:val="22"/>
        </w:rPr>
        <w:t xml:space="preserve"> qui ouvrent des avantages de change exceptionnels (ouverture de comptes en devises, augmentation du plafond des cartes internationales, rapatriement des fonds levés à l’étranger).</w:t>
      </w:r>
    </w:p>
    <w:p>
      <w:pPr>
        <w:pStyle w:val="Heading1"/>
        <w:pageBreakBefore/>
        <w:spacing w:after="240" w:before="480"/>
      </w:pPr>
      <w:r>
        <w:rPr>
          <w:rFonts w:ascii="Calibri" w:cs="Calibri" w:eastAsia="Calibri" w:hAnsi="Calibri"/>
          <w:b/>
          <w:bCs/>
          <w:color w:val="01696F"/>
          <w:sz w:val="40"/>
          <w:szCs w:val="40"/>
        </w:rPr>
        <w:t xml:space="preserve">Chapitre 2 — Le financement bancaire classique</w:t>
      </w:r>
    </w:p>
    <w:p>
      <w:pPr>
        <w:spacing w:after="140" w:line="320"/>
        <w:jc w:val="both"/>
      </w:pPr>
      <w:r>
        <w:rPr>
          <w:rFonts w:ascii="Calibri" w:cs="Calibri" w:eastAsia="Calibri" w:hAnsi="Calibri"/>
          <w:color w:val="28251D"/>
          <w:sz w:val="22"/>
          <w:szCs w:val="22"/>
        </w:rPr>
        <w:t xml:space="preserve">Le financement bancaire reste, malgré tous ses défauts, le pilier central du financement des PME tunisiennes. Avec 23 banques agréées et un total d’actifs dépassant 130 milliards de dinars, le secteur bancaire représente la source de capitaux la plus accessible pour un projet de taille moyenne. Trois grandes catégories de produits couvrent l’essentiel des besoins.</w:t>
      </w:r>
    </w:p>
    <w:p>
      <w:pPr>
        <w:pStyle w:val="Heading2"/>
        <w:spacing w:after="160" w:before="320"/>
      </w:pPr>
      <w:r>
        <w:rPr>
          <w:rFonts w:ascii="Calibri" w:cs="Calibri" w:eastAsia="Calibri" w:hAnsi="Calibri"/>
          <w:b/>
          <w:bCs/>
          <w:color w:val="0C4E54"/>
          <w:sz w:val="30"/>
          <w:szCs w:val="30"/>
        </w:rPr>
        <w:t xml:space="preserve">2.1 Les crédits court terme (CCT)</w:t>
      </w:r>
    </w:p>
    <w:p>
      <w:pPr>
        <w:spacing w:after="140" w:line="320"/>
        <w:jc w:val="both"/>
      </w:pPr>
      <w:r>
        <w:rPr>
          <w:rFonts w:ascii="Calibri" w:cs="Calibri" w:eastAsia="Calibri" w:hAnsi="Calibri"/>
          <w:color w:val="28251D"/>
          <w:sz w:val="22"/>
          <w:szCs w:val="22"/>
        </w:rPr>
        <w:t xml:space="preserve">Les CCT financent les besoins courants d’exploitation : trésorerie, stocks, créances clients, opérations import-export. Ils sont rapides à mettre en place mais coûteux.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1800"/>
        <w:gridCol w:w="2960"/>
      </w:tblGrid>
      <w:tr>
        <w:trPr>
          <w:tblHeader/>
        </w:trPr>
        <w:tc>
          <w:tcPr>
            <w:tcW w:type="dxa" w:w="2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Produit</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Objet</w:t>
            </w:r>
          </w:p>
        </w:tc>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Durée</w:t>
            </w:r>
          </w:p>
        </w:tc>
        <w:tc>
          <w:tcPr>
            <w:tcW w:type="dxa" w:w="2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Conditions typiques</w:t>
            </w:r>
          </w:p>
        </w:tc>
      </w:tr>
      <w:tr>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Découvert bancaire</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Trésorerie ponctuelle</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30 à 90 jours</w:t>
            </w:r>
          </w:p>
        </w:tc>
        <w:tc>
          <w:tcPr>
            <w:tcW w:type="dxa" w:w="2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selon CA</w:t>
            </w:r>
          </w:p>
        </w:tc>
      </w:tr>
      <w:tr>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Facilité de caisse</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Décalages de trésorerie</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Quelques jours</w:t>
            </w:r>
          </w:p>
        </w:tc>
        <w:tc>
          <w:tcPr>
            <w:tcW w:type="dxa" w:w="2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Renouvelable</w:t>
            </w:r>
          </w:p>
        </w:tc>
      </w:tr>
      <w:tr>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de campagne</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Cycles saisonniers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 à 12 mois</w:t>
            </w:r>
          </w:p>
        </w:tc>
        <w:tc>
          <w:tcPr>
            <w:tcW w:type="dxa" w:w="2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Remboursement fin de campagne</w:t>
            </w:r>
          </w:p>
        </w:tc>
      </w:tr>
      <w:tr>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Escompte commercial</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Mobilisation créances clients</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échéance</w:t>
            </w:r>
          </w:p>
        </w:tc>
        <w:tc>
          <w:tcPr>
            <w:tcW w:type="dxa" w:w="2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Décote sur valeur nominale</w:t>
            </w:r>
          </w:p>
        </w:tc>
      </w:tr>
      <w:tr>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documentaire (CREDOC)</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Import / Export</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Selon délais</w:t>
            </w:r>
          </w:p>
        </w:tc>
        <w:tc>
          <w:tcPr>
            <w:tcW w:type="dxa" w:w="2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bancaire requise</w:t>
            </w:r>
          </w:p>
        </w:tc>
      </w:tr>
      <w:tr>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Avances sur marchés</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Marchés publics</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 du marché</w:t>
            </w:r>
          </w:p>
        </w:tc>
        <w:tc>
          <w:tcPr>
            <w:tcW w:type="dxa" w:w="2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Nantissement du marché</w:t>
            </w:r>
          </w:p>
        </w:tc>
      </w:tr>
    </w:tbl>
    <w:p>
      <w:pPr>
        <w:spacing w:after="120"/>
      </w:pPr>
      <w:r>
        <w:rPr>
          <w:rFonts w:ascii="Calibri" w:cs="Calibri" w:eastAsia="Calibri" w:hAnsi="Calibri"/>
        </w:rPr>
        <w:t xml:space="preserve"/>
      </w:r>
    </w:p>
    <w:p>
      <w:pPr>
        <w:spacing w:after="140" w:line="320"/>
        <w:jc w:val="both"/>
      </w:pPr>
      <w:r>
        <w:rPr>
          <w:rFonts w:ascii="Calibri" w:cs="Calibri" w:eastAsia="Calibri" w:hAnsi="Calibri"/>
          <w:b/>
          <w:bCs/>
          <w:sz w:val="22"/>
          <w:szCs w:val="22"/>
        </w:rPr>
        <w:t xml:space="preserve">Taux pratiqués 2024 - 2025 : </w:t>
      </w:r>
      <w:r>
        <w:rPr>
          <w:rFonts w:ascii="Calibri" w:cs="Calibri" w:eastAsia="Calibri" w:hAnsi="Calibri"/>
          <w:sz w:val="22"/>
          <w:szCs w:val="22"/>
        </w:rPr>
        <w:t xml:space="preserve">TMM + 2 % à TMM + 5 % selon le profil de risque. Avec un TMM autour de 7,5 %, les taux effectifs CCT varient typiquement entre 9,5 % et 12,5 %.</w:t>
      </w:r>
    </w:p>
    <w:p>
      <w:pPr>
        <w:pStyle w:val="Heading2"/>
        <w:spacing w:after="160" w:before="320"/>
      </w:pPr>
      <w:r>
        <w:rPr>
          <w:rFonts w:ascii="Calibri" w:cs="Calibri" w:eastAsia="Calibri" w:hAnsi="Calibri"/>
          <w:b/>
          <w:bCs/>
          <w:color w:val="0C4E54"/>
          <w:sz w:val="30"/>
          <w:szCs w:val="30"/>
        </w:rPr>
        <w:t xml:space="preserve">2.2 Les crédits moyen terme (CMT) et long terme (CLT)</w:t>
      </w:r>
    </w:p>
    <w:p>
      <w:pPr>
        <w:spacing w:after="140" w:line="320"/>
        <w:jc w:val="both"/>
      </w:pPr>
      <w:r>
        <w:rPr>
          <w:rFonts w:ascii="Calibri" w:cs="Calibri" w:eastAsia="Calibri" w:hAnsi="Calibri"/>
          <w:color w:val="28251D"/>
          <w:sz w:val="22"/>
          <w:szCs w:val="22"/>
        </w:rPr>
        <w:t xml:space="preserve">Les CMT (2 à 7 ans) financent les investissements en équipements et matériel. Les CLT (7 à 15 ans) sont principalement utilisés pour les acquisitions immobilières et les projets d’envergure. Les CLT sont souvent rétrocédés via des lignes extérieures (BEI, KfW, BERD) avec des taux fixes préférentiels et des périodes de grâce de 2 à 4 ans.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160"/>
        <w:gridCol w:w="2400"/>
      </w:tblGrid>
      <w:tr>
        <w:trPr>
          <w:tblHeader/>
        </w:trPr>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Produit</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Objet</w:t>
            </w:r>
          </w:p>
        </w:tc>
        <w:tc>
          <w:tcPr>
            <w:tcW w:type="dxa" w:w="21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Durée</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Montant typique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d’investissement CMT</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Équipements, matériel</w:t>
            </w:r>
          </w:p>
        </w:tc>
        <w:tc>
          <w:tcPr>
            <w:tcW w:type="dxa" w:w="2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 à 7 ans</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Selon projet</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FOPRODI</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Nouveaux promoteurs industrie</w:t>
            </w:r>
          </w:p>
        </w:tc>
        <w:tc>
          <w:tcPr>
            <w:tcW w:type="dxa" w:w="2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7 ans</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Projet jusqu’à 10 MDT</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FONAPRAM</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Artisanat, petits métiers</w:t>
            </w:r>
          </w:p>
        </w:tc>
        <w:tc>
          <w:tcPr>
            <w:tcW w:type="dxa" w:w="2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7 ans</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Max 150 000 DT</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BTS Bank</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Petits promoteurs</w:t>
            </w:r>
          </w:p>
        </w:tc>
        <w:tc>
          <w:tcPr>
            <w:tcW w:type="dxa" w:w="2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11 ans</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Max 200 000 DT</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Lignes BEI / KfW / BERD</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Investissement long terme</w:t>
            </w:r>
          </w:p>
        </w:tc>
        <w:tc>
          <w:tcPr>
            <w:tcW w:type="dxa" w:w="2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 à 15 ans (grâce 2 à 4 ans)</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Selon ligne</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2.3 Panorama des banques tunisiennes actives sur le segment PME</w:t>
      </w:r>
    </w:p>
    <w:p>
      <w:pPr>
        <w:spacing w:after="140" w:line="320"/>
        <w:jc w:val="both"/>
      </w:pPr>
      <w:r>
        <w:rPr>
          <w:rFonts w:ascii="Calibri" w:cs="Calibri" w:eastAsia="Calibri" w:hAnsi="Calibri"/>
          <w:color w:val="28251D"/>
          <w:sz w:val="22"/>
          <w:szCs w:val="22"/>
        </w:rPr>
        <w:t xml:space="preserve">Le marché bancaire tunisien est concentré autour d’une quinzaine d’acteurs principaux. Voici les banques les plus actives sur le financement PME, classées par type :</w:t>
      </w:r>
    </w:p>
    <w:p>
      <w:pPr>
        <w:pStyle w:val="Heading3"/>
        <w:spacing w:after="120" w:before="240"/>
      </w:pPr>
      <w:r>
        <w:rPr>
          <w:rFonts w:ascii="Calibri" w:cs="Calibri" w:eastAsia="Calibri" w:hAnsi="Calibri"/>
          <w:b/>
          <w:bCs/>
          <w:color w:val="28251D"/>
          <w:sz w:val="24"/>
          <w:szCs w:val="24"/>
        </w:rPr>
        <w:t xml:space="preserve">Banques privées universelles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360"/>
        <w:gridCol w:w="400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Banque</w:t>
            </w:r>
          </w:p>
        </w:tc>
        <w:tc>
          <w:tcPr>
            <w:tcW w:type="dxa" w:w="2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 web</w:t>
            </w:r>
          </w:p>
        </w:tc>
        <w:tc>
          <w:tcPr>
            <w:tcW w:type="dxa" w:w="4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Spécificité PME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BIAT — Banque Internationale Arabe de Tunisie</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biat.com.tn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1ère banque privée, forte présence PME</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Attijari Bank (groupe Attijariwafa)</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attijaribank.com.tn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Partenariat IFC, gamme PME complète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Amen Bank</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amenbank.com.tn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Filiale leasing Amen Lease, B@Labs</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 — Banque de Tunisie</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Gestion FOPRODI</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UBCI (groupe BNP Paribas)</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ubci.tn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FONAPRAM, export</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UIB (groupe Société Générale)</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uib.com.tn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 UIB, financement PME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ATB — Arab Tunisian Bank</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atb.tn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Toutes tailles de PME</w:t>
            </w:r>
          </w:p>
        </w:tc>
      </w:tr>
    </w:tbl>
    <w:p>
      <w:pPr>
        <w:spacing w:after="14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Banques publiques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360"/>
        <w:gridCol w:w="400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Banque</w:t>
            </w:r>
          </w:p>
        </w:tc>
        <w:tc>
          <w:tcPr>
            <w:tcW w:type="dxa" w:w="2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 web</w:t>
            </w:r>
          </w:p>
        </w:tc>
        <w:tc>
          <w:tcPr>
            <w:tcW w:type="dxa" w:w="4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Spécificité PME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BNA — Banque Nationale Agricole</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bna.com.tn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Agriculture et PME rurales</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STB — Société Tunisienne de Banque</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stb.com.tn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 publique historique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BH Bank — Banque de l’Habitat</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bh.com.tn</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Orientation immobilier</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BTE — Banque Tunisienne de l’Exportation</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bte.com.tn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Financement export et investissement</w:t>
            </w:r>
          </w:p>
        </w:tc>
      </w:tr>
    </w:tbl>
    <w:p>
      <w:pPr>
        <w:spacing w:after="14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Banques islamiques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360"/>
        <w:gridCol w:w="400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Banque</w:t>
            </w:r>
          </w:p>
        </w:tc>
        <w:tc>
          <w:tcPr>
            <w:tcW w:type="dxa" w:w="2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 web</w:t>
            </w:r>
          </w:p>
        </w:tc>
        <w:tc>
          <w:tcPr>
            <w:tcW w:type="dxa" w:w="4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Spécificité PME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 Zitouna</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banquezitouna.com</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Mourabaha, Ijara, Moudharaba</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 Baraka Bank Tunisie</w:t>
            </w:r>
          </w:p>
        </w:tc>
        <w:tc>
          <w:tcPr>
            <w:tcW w:type="dxa" w:w="2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albarakabank.com.tn</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Groupe Al Baraka international</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 International Bank</w:t>
            </w:r>
          </w:p>
        </w:tc>
        <w:tc>
          <w:tcPr>
            <w:tcW w:type="dxa" w:w="2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wifakbank.com</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Mourabaha, Ijara, ex-leasing</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Loi de Finances 2025 — Une obligation nouvelle pour les banques</w:t>
            </w:r>
          </w:p>
          <w:p>
            <w:r>
              <w:rPr>
                <w:rFonts w:ascii="Calibri" w:cs="Calibri" w:eastAsia="Calibri" w:hAnsi="Calibri"/>
                <w:sz w:val="20"/>
                <w:szCs w:val="20"/>
              </w:rPr>
              <w:t xml:space="preserve">La Loi de Finances 2025 prévoit la mobilisation de 8 % des bénéfices nets des banques pour créer des lignes de crédit court terme (jusqu’à deux ans) destinées spécifiquement à soutenir les PME à des conditions avantageuses. Cette mesure, encore en cours de déploiement, vise à corriger le déséquilibre structurel entre rentabilité bancaire et financement productif.</w:t>
            </w:r>
          </w:p>
        </w:tc>
      </w:tr>
    </w:tbl>
    <w:p>
      <w:pPr>
        <w:pStyle w:val="Heading2"/>
        <w:spacing w:after="160" w:before="320"/>
      </w:pPr>
      <w:r>
        <w:rPr>
          <w:rFonts w:ascii="Calibri" w:cs="Calibri" w:eastAsia="Calibri" w:hAnsi="Calibri"/>
          <w:b/>
          <w:bCs/>
          <w:color w:val="0C4E54"/>
          <w:sz w:val="30"/>
          <w:szCs w:val="30"/>
        </w:rPr>
        <w:t xml:space="preserve">2.4 Le leasing : une alternative décisive pour les équipements</w:t>
      </w:r>
    </w:p>
    <w:p>
      <w:pPr>
        <w:spacing w:after="140" w:line="320"/>
        <w:jc w:val="both"/>
      </w:pPr>
      <w:r>
        <w:rPr>
          <w:rFonts w:ascii="Calibri" w:cs="Calibri" w:eastAsia="Calibri" w:hAnsi="Calibri"/>
          <w:color w:val="28251D"/>
          <w:sz w:val="22"/>
          <w:szCs w:val="22"/>
        </w:rPr>
        <w:t xml:space="preserve">Le leasing (crédit-bail) constitue probablement l’alternative la plus accessible au crédit bancaire classique pour le financement d’équipements. Son principal avantage : le bien financé sert lui-même de garantie, supprimant l’exigence de garanties réelles externes.</w:t>
      </w:r>
    </w:p>
    <w:p>
      <w:pPr>
        <w:pStyle w:val="Heading4"/>
        <w:spacing w:after="80" w:before="180"/>
      </w:pPr>
      <w:r>
        <w:rPr>
          <w:rFonts w:ascii="Calibri" w:cs="Calibri" w:eastAsia="Calibri" w:hAnsi="Calibri"/>
          <w:b/>
          <w:bCs/>
          <w:i w:val="false"/>
          <w:iCs w:val="false"/>
          <w:color w:val="0C4E54"/>
          <w:sz w:val="22"/>
          <w:szCs w:val="22"/>
        </w:rPr>
        <w:t xml:space="preserve">Caractéristiques techniques</w:t>
      </w:r>
    </w:p>
    <w:p>
      <w:pPr>
        <w:pStyle w:val="ListParagraph"/>
        <w:numPr>
          <w:ilvl w:val="0"/>
          <w:numId w:val="2"/>
        </w:numPr>
        <w:spacing w:after="80" w:line="300"/>
      </w:pPr>
      <w:r>
        <w:rPr>
          <w:rFonts w:ascii="Calibri" w:cs="Calibri" w:eastAsia="Calibri" w:hAnsi="Calibri"/>
          <w:color w:val="28251D"/>
          <w:sz w:val="22"/>
          <w:szCs w:val="22"/>
        </w:rPr>
        <w:t xml:space="preserve">Financement jusqu’à 100 % du coût du bien (parfois sans apport personnel).</w:t>
      </w:r>
    </w:p>
    <w:p>
      <w:pPr>
        <w:pStyle w:val="ListParagraph"/>
        <w:numPr>
          <w:ilvl w:val="0"/>
          <w:numId w:val="2"/>
        </w:numPr>
        <w:spacing w:after="80" w:line="300"/>
      </w:pPr>
      <w:r>
        <w:rPr>
          <w:rFonts w:ascii="Calibri" w:cs="Calibri" w:eastAsia="Calibri" w:hAnsi="Calibri"/>
          <w:color w:val="28251D"/>
          <w:sz w:val="22"/>
          <w:szCs w:val="22"/>
        </w:rPr>
        <w:t xml:space="preserve">Durée : 2 à 7 ans selon la nature du bien.</w:t>
      </w:r>
    </w:p>
    <w:p>
      <w:pPr>
        <w:pStyle w:val="ListParagraph"/>
        <w:numPr>
          <w:ilvl w:val="0"/>
          <w:numId w:val="2"/>
        </w:numPr>
        <w:spacing w:after="80" w:line="300"/>
      </w:pPr>
      <w:r>
        <w:rPr>
          <w:rFonts w:ascii="Calibri" w:cs="Calibri" w:eastAsia="Calibri" w:hAnsi="Calibri"/>
          <w:color w:val="28251D"/>
          <w:sz w:val="22"/>
          <w:szCs w:val="22"/>
        </w:rPr>
        <w:t xml:space="preserve">Taux : TMM + marge (généralement TMM + 2,5 % à 4 %).</w:t>
      </w:r>
    </w:p>
    <w:p>
      <w:pPr>
        <w:pStyle w:val="ListParagraph"/>
        <w:numPr>
          <w:ilvl w:val="0"/>
          <w:numId w:val="2"/>
        </w:numPr>
        <w:spacing w:after="80" w:line="300"/>
      </w:pPr>
      <w:r>
        <w:rPr>
          <w:rFonts w:ascii="Calibri" w:cs="Calibri" w:eastAsia="Calibri" w:hAnsi="Calibri"/>
          <w:color w:val="28251D"/>
          <w:sz w:val="22"/>
          <w:szCs w:val="22"/>
        </w:rPr>
        <w:t xml:space="preserve">Loyers entièrement déductibles des charges d’exploitation (avantage fiscal).</w:t>
      </w:r>
    </w:p>
    <w:p>
      <w:pPr>
        <w:pStyle w:val="ListParagraph"/>
        <w:numPr>
          <w:ilvl w:val="0"/>
          <w:numId w:val="2"/>
        </w:numPr>
        <w:spacing w:after="80" w:line="300"/>
      </w:pPr>
      <w:r>
        <w:rPr>
          <w:rFonts w:ascii="Calibri" w:cs="Calibri" w:eastAsia="Calibri" w:hAnsi="Calibri"/>
          <w:color w:val="28251D"/>
          <w:sz w:val="22"/>
          <w:szCs w:val="22"/>
        </w:rPr>
        <w:t xml:space="preserve">Transfert de propriété à l’échéance pour une valeur résiduelle symbolique (1 DT ou valeur convenue).</w:t>
      </w:r>
    </w:p>
    <w:p>
      <w:pPr>
        <w:pStyle w:val="Heading4"/>
        <w:spacing w:after="80" w:before="180"/>
      </w:pPr>
      <w:r>
        <w:rPr>
          <w:rFonts w:ascii="Calibri" w:cs="Calibri" w:eastAsia="Calibri" w:hAnsi="Calibri"/>
          <w:b/>
          <w:bCs/>
          <w:i w:val="false"/>
          <w:iCs w:val="false"/>
          <w:color w:val="0C4E54"/>
          <w:sz w:val="22"/>
          <w:szCs w:val="22"/>
        </w:rPr>
        <w:t xml:space="preserve">Principaux acteurs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000"/>
        <w:gridCol w:w="2760"/>
      </w:tblGrid>
      <w:tr>
        <w:trPr>
          <w:tblHeader/>
        </w:trPr>
        <w:tc>
          <w:tcPr>
            <w:tcW w:type="dxa" w:w="3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Société</w:t>
            </w:r>
          </w:p>
        </w:tc>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 / Groupe</w:t>
            </w:r>
          </w:p>
        </w:tc>
        <w:tc>
          <w:tcPr>
            <w:tcW w:type="dxa" w:w="2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Note</w:t>
            </w:r>
          </w:p>
        </w:tc>
      </w:tr>
      <w:tr>
        <w:tc>
          <w:tcPr>
            <w:tcW w:type="dxa" w:w="3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Tunisie Leasing &amp; Factoring (TLF)</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tlf.com.tn</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Bénéficiaire ligne BEI 2024</w:t>
            </w:r>
          </w:p>
        </w:tc>
      </w:tr>
      <w:tr>
        <w:tc>
          <w:tcPr>
            <w:tcW w:type="dxa" w:w="3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CIL — Compagnie Internationale de Leasing</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Équipements industriels</w:t>
            </w:r>
          </w:p>
        </w:tc>
      </w:tr>
      <w:tr>
        <w:tc>
          <w:tcPr>
            <w:tcW w:type="dxa" w:w="3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Arab Tunisian Lease (ATL)</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Toutes catégories</w:t>
            </w:r>
          </w:p>
        </w:tc>
      </w:tr>
      <w:tr>
        <w:tc>
          <w:tcPr>
            <w:tcW w:type="dxa" w:w="3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Attijari Leasing</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Filiale Attijari Bank</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3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Amen Lease</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Filiale Amen Bank</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3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UIB Leasing</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Filiale UIB</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bl>
    <w:p>
      <w:pPr>
        <w:spacing w:after="120"/>
      </w:pPr>
      <w:r>
        <w:rPr>
          <w:rFonts w:ascii="Calibri" w:cs="Calibri" w:eastAsia="Calibri" w:hAnsi="Calibri"/>
        </w:rPr>
        <w:t xml:space="preserve"/>
      </w:r>
    </w:p>
    <w:p>
      <w:pPr>
        <w:spacing w:after="140" w:line="320"/>
        <w:jc w:val="both"/>
      </w:pPr>
      <w:r>
        <w:rPr>
          <w:rFonts w:ascii="Calibri" w:cs="Calibri" w:eastAsia="Calibri" w:hAnsi="Calibri"/>
          <w:sz w:val="22"/>
          <w:szCs w:val="22"/>
        </w:rPr>
        <w:t xml:space="preserve">Liste officielle complète sur la BCT : </w:t>
      </w:r>
      <w:hyperlink w:history="1" r:id="rId_nma-mghtytzyam8jnqev">
        <w:r>
          <w:rPr>
            <w:rFonts w:ascii="Calibri" w:cs="Calibri" w:eastAsia="Calibri" w:hAnsi="Calibri"/>
            <w:color w:val="01696F"/>
            <w:sz w:val="19"/>
            <w:szCs w:val="19"/>
            <w:u w:val="single"/>
          </w:rPr>
          <w:t xml:space="preserve">oif.bct.gov.tn/leasing_factoring</w:t>
        </w:r>
      </w:hyperlink>
      <w:r>
        <w:rPr>
          <w:rFonts w:ascii="Calibri" w:cs="Calibri" w:eastAsia="Calibri" w:hAnsi="Calibri"/>
          <w:sz w:val="22"/>
          <w:szCs w:val="22"/>
        </w:rPr>
        <w:t xml:space="preserve">.</w:t>
      </w:r>
    </w:p>
    <w:p>
      <w:pPr>
        <w:pStyle w:val="Heading2"/>
        <w:spacing w:after="160" w:before="320"/>
      </w:pPr>
      <w:r>
        <w:rPr>
          <w:rFonts w:ascii="Calibri" w:cs="Calibri" w:eastAsia="Calibri" w:hAnsi="Calibri"/>
          <w:b/>
          <w:bCs/>
          <w:color w:val="0C4E54"/>
          <w:sz w:val="30"/>
          <w:szCs w:val="30"/>
        </w:rPr>
        <w:t xml:space="preserve">2.5 Le factoring (affacturage) : une solution pour le BFR</w:t>
      </w:r>
    </w:p>
    <w:p>
      <w:pPr>
        <w:spacing w:after="140" w:line="320"/>
        <w:jc w:val="both"/>
      </w:pPr>
      <w:r>
        <w:rPr>
          <w:rFonts w:ascii="Calibri" w:cs="Calibri" w:eastAsia="Calibri" w:hAnsi="Calibri"/>
          <w:color w:val="28251D"/>
          <w:sz w:val="22"/>
          <w:szCs w:val="22"/>
        </w:rPr>
        <w:t xml:space="preserve">Le factoring permet de céder ses créances commerciales à un factor qui en assure le recouvrement et verse immédiatement une avance de trésorerie. C’est un outil particulièrement adapté aux PME exportatrices ou aux entreprises dont les clients pratiquent des délais de paiement longs.</w:t>
      </w:r>
    </w:p>
    <w:p>
      <w:pPr>
        <w:pStyle w:val="Heading4"/>
        <w:spacing w:after="80" w:before="180"/>
      </w:pPr>
      <w:r>
        <w:rPr>
          <w:rFonts w:ascii="Calibri" w:cs="Calibri" w:eastAsia="Calibri" w:hAnsi="Calibri"/>
          <w:b/>
          <w:bCs/>
          <w:i w:val="false"/>
          <w:iCs w:val="false"/>
          <w:color w:val="0C4E54"/>
          <w:sz w:val="22"/>
          <w:szCs w:val="22"/>
        </w:rPr>
        <w:t xml:space="preserve">Caractéristiques</w:t>
      </w:r>
    </w:p>
    <w:p>
      <w:pPr>
        <w:pStyle w:val="ListParagraph"/>
        <w:numPr>
          <w:ilvl w:val="0"/>
          <w:numId w:val="2"/>
        </w:numPr>
        <w:spacing w:after="80" w:line="300"/>
      </w:pPr>
      <w:r>
        <w:rPr>
          <w:rFonts w:ascii="Calibri" w:cs="Calibri" w:eastAsia="Calibri" w:hAnsi="Calibri"/>
          <w:color w:val="28251D"/>
          <w:sz w:val="22"/>
          <w:szCs w:val="22"/>
        </w:rPr>
        <w:t xml:space="preserve">Financement immédiat de 80 à 90 % de la valeur des factures cédées.</w:t>
      </w:r>
    </w:p>
    <w:p>
      <w:pPr>
        <w:pStyle w:val="ListParagraph"/>
        <w:numPr>
          <w:ilvl w:val="0"/>
          <w:numId w:val="2"/>
        </w:numPr>
        <w:spacing w:after="80" w:line="300"/>
      </w:pPr>
      <w:r>
        <w:rPr>
          <w:rFonts w:ascii="Calibri" w:cs="Calibri" w:eastAsia="Calibri" w:hAnsi="Calibri"/>
          <w:color w:val="28251D"/>
          <w:sz w:val="22"/>
          <w:szCs w:val="22"/>
        </w:rPr>
        <w:t xml:space="preserve">Délai de mise à disposition : 24 à 48 heures.</w:t>
      </w:r>
    </w:p>
    <w:p>
      <w:pPr>
        <w:pStyle w:val="ListParagraph"/>
        <w:numPr>
          <w:ilvl w:val="0"/>
          <w:numId w:val="2"/>
        </w:numPr>
        <w:spacing w:after="80" w:line="300"/>
      </w:pPr>
      <w:r>
        <w:rPr>
          <w:rFonts w:ascii="Calibri" w:cs="Calibri" w:eastAsia="Calibri" w:hAnsi="Calibri"/>
          <w:color w:val="28251D"/>
          <w:sz w:val="22"/>
          <w:szCs w:val="22"/>
        </w:rPr>
        <w:t xml:space="preserve">Commission d’affacturage : 0,5 % à 2 % du chiffre d’affaires confié.</w:t>
      </w:r>
    </w:p>
    <w:p>
      <w:pPr>
        <w:pStyle w:val="ListParagraph"/>
        <w:numPr>
          <w:ilvl w:val="0"/>
          <w:numId w:val="2"/>
        </w:numPr>
        <w:spacing w:after="80" w:line="300"/>
      </w:pPr>
      <w:r>
        <w:rPr>
          <w:rFonts w:ascii="Calibri" w:cs="Calibri" w:eastAsia="Calibri" w:hAnsi="Calibri"/>
          <w:color w:val="28251D"/>
          <w:sz w:val="22"/>
          <w:szCs w:val="22"/>
        </w:rPr>
        <w:t xml:space="preserve">Intérêts de préfinancement : TMM + marge.</w:t>
      </w:r>
    </w:p>
    <w:p>
      <w:pPr>
        <w:pStyle w:val="ListParagraph"/>
        <w:numPr>
          <w:ilvl w:val="0"/>
          <w:numId w:val="2"/>
        </w:numPr>
        <w:spacing w:after="80" w:line="300"/>
      </w:pPr>
      <w:r>
        <w:rPr>
          <w:rFonts w:ascii="Calibri" w:cs="Calibri" w:eastAsia="Calibri" w:hAnsi="Calibri"/>
          <w:color w:val="28251D"/>
          <w:sz w:val="22"/>
          <w:szCs w:val="22"/>
        </w:rPr>
        <w:t xml:space="preserve">Externalisation du risque client et amélioration significative du BFR.</w:t>
      </w:r>
    </w:p>
    <w:p>
      <w:pPr>
        <w:pStyle w:val="Heading4"/>
        <w:spacing w:after="80" w:before="180"/>
      </w:pPr>
      <w:r>
        <w:rPr>
          <w:rFonts w:ascii="Calibri" w:cs="Calibri" w:eastAsia="Calibri" w:hAnsi="Calibri"/>
          <w:b/>
          <w:bCs/>
          <w:i w:val="false"/>
          <w:iCs w:val="false"/>
          <w:color w:val="0C4E54"/>
          <w:sz w:val="22"/>
          <w:szCs w:val="22"/>
        </w:rPr>
        <w:t xml:space="preserve">Acteurs principaux</w:t>
      </w:r>
    </w:p>
    <w:p>
      <w:pPr>
        <w:pStyle w:val="ListParagraph"/>
        <w:numPr>
          <w:ilvl w:val="0"/>
          <w:numId w:val="2"/>
        </w:numPr>
        <w:spacing w:after="80" w:line="300"/>
      </w:pPr>
      <w:r>
        <w:rPr>
          <w:rFonts w:ascii="Calibri" w:cs="Calibri" w:eastAsia="Calibri" w:hAnsi="Calibri"/>
          <w:color w:val="28251D"/>
          <w:sz w:val="22"/>
          <w:szCs w:val="22"/>
        </w:rPr>
        <w:t xml:space="preserve">Tunisie Factoring (branche de TLF) — gestion complète du poste clients.</w:t>
      </w:r>
    </w:p>
    <w:p>
      <w:pPr>
        <w:pStyle w:val="ListParagraph"/>
        <w:numPr>
          <w:ilvl w:val="0"/>
          <w:numId w:val="2"/>
        </w:numPr>
        <w:spacing w:after="80" w:line="300"/>
      </w:pPr>
      <w:r>
        <w:rPr>
          <w:rFonts w:ascii="Calibri" w:cs="Calibri" w:eastAsia="Calibri" w:hAnsi="Calibri"/>
          <w:color w:val="28251D"/>
          <w:sz w:val="22"/>
          <w:szCs w:val="22"/>
        </w:rPr>
        <w:t xml:space="preserve">Unifactor (filiale BIAT) — affacturage domestique et international.</w:t>
      </w:r>
    </w:p>
    <w:p>
      <w:pPr>
        <w:pStyle w:val="Heading1"/>
        <w:pageBreakBefore/>
        <w:spacing w:after="240" w:before="480"/>
      </w:pPr>
      <w:r>
        <w:rPr>
          <w:rFonts w:ascii="Calibri" w:cs="Calibri" w:eastAsia="Calibri" w:hAnsi="Calibri"/>
          <w:b/>
          <w:bCs/>
          <w:color w:val="01696F"/>
          <w:sz w:val="40"/>
          <w:szCs w:val="40"/>
        </w:rPr>
        <w:t xml:space="preserve">Chapitre 3 — Les institutions de financement spécialisées</w:t>
      </w:r>
    </w:p>
    <w:p>
      <w:pPr>
        <w:spacing w:after="140" w:line="320"/>
        <w:jc w:val="both"/>
      </w:pPr>
      <w:r>
        <w:rPr>
          <w:rFonts w:ascii="Calibri" w:cs="Calibri" w:eastAsia="Calibri" w:hAnsi="Calibri"/>
          <w:color w:val="28251D"/>
          <w:sz w:val="22"/>
          <w:szCs w:val="22"/>
        </w:rPr>
        <w:t xml:space="preserve">Au-delà des banques universelles, la Tunisie dispose de trois institutions publiques dédiées au financement des PME, conçues pour combler les défaillances de marché : la BFPME, la BTS Bank et la SOTUGAR. À leurs côtés, les SICAR offrent une voie de capitalisation alternative.</w:t>
      </w:r>
    </w:p>
    <w:p>
      <w:pPr>
        <w:pStyle w:val="Heading2"/>
        <w:spacing w:after="160" w:before="320"/>
      </w:pPr>
      <w:r>
        <w:rPr>
          <w:rFonts w:ascii="Calibri" w:cs="Calibri" w:eastAsia="Calibri" w:hAnsi="Calibri"/>
          <w:b/>
          <w:bCs/>
          <w:color w:val="0C4E54"/>
          <w:sz w:val="30"/>
          <w:szCs w:val="30"/>
        </w:rPr>
        <w:t xml:space="preserve">3.1 BFPME — La banque dédiée aux PME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Banque de Financement des Petites et Moyennes Entreprises</w:t>
            </w:r>
          </w:p>
          <w:p>
            <w:pPr>
              <w:spacing w:after="40"/>
            </w:pPr>
            <w:r>
              <w:rPr>
                <w:rFonts w:ascii="Calibri" w:cs="Calibri" w:eastAsia="Calibri" w:hAnsi="Calibri"/>
                <w:sz w:val="20"/>
                <w:szCs w:val="20"/>
              </w:rPr>
              <w:t xml:space="preserve">Banque de développement publique, créée en mars 2005. Siège : 34, rue Hédi Karray, Centre Urbain Nord, 1004 El Menzah IV, Tunis.</w:t>
            </w:r>
          </w:p>
          <w:p>
            <w:r>
              <w:rPr>
                <w:rFonts w:ascii="Calibri" w:cs="Calibri" w:eastAsia="Calibri" w:hAnsi="Calibri"/>
                <w:sz w:val="20"/>
                <w:szCs w:val="20"/>
              </w:rPr>
              <w:t xml:space="preserve">Site web : </w:t>
            </w:r>
            <w:hyperlink w:history="1" r:id="rIdrabaz5mtxg5_fhpie62qu">
              <w:r>
                <w:rPr>
                  <w:rFonts w:ascii="Calibri" w:cs="Calibri" w:eastAsia="Calibri" w:hAnsi="Calibri"/>
                  <w:color w:val="01696F"/>
                  <w:sz w:val="20"/>
                  <w:szCs w:val="20"/>
                  <w:u w:val="single"/>
                </w:rPr>
                <w:t xml:space="preserve">www.bfpme.com.tn</w:t>
              </w:r>
            </w:hyperlink>
            <w:r>
              <w:rPr>
                <w:rFonts w:ascii="Calibri" w:cs="Calibri" w:eastAsia="Calibri" w:hAnsi="Calibri"/>
                <w:sz w:val="20"/>
                <w:szCs w:val="20"/>
              </w:rPr>
              <w:t xml:space="preserve"> — Engagements au 31 / 12 / 2024 : 437,9 millions de dinars.</w:t>
            </w:r>
          </w:p>
        </w:tc>
      </w:tr>
    </w:tbl>
    <w:p>
      <w:pPr>
        <w:spacing w:after="140" w:line="320"/>
        <w:jc w:val="both"/>
      </w:pPr>
      <w:r>
        <w:rPr>
          <w:rFonts w:ascii="Calibri" w:cs="Calibri" w:eastAsia="Calibri" w:hAnsi="Calibri"/>
          <w:color w:val="28251D"/>
          <w:sz w:val="22"/>
          <w:szCs w:val="22"/>
        </w:rPr>
        <w:t xml:space="preserve">La BFPME constitue la référence opérationnelle pour le financement des PME en Tunisie. Sa mission est de financer la création et l’extension de PME dans tous les secteurs, à l’exception du tourisme (hébergement) et de la promotion immobilière résidentielle.</w:t>
      </w:r>
    </w:p>
    <w:p>
      <w:pPr>
        <w:pStyle w:val="Heading3"/>
        <w:spacing w:after="120" w:before="240"/>
      </w:pPr>
      <w:r>
        <w:rPr>
          <w:rFonts w:ascii="Calibri" w:cs="Calibri" w:eastAsia="Calibri" w:hAnsi="Calibri"/>
          <w:b/>
          <w:bCs/>
          <w:color w:val="28251D"/>
          <w:sz w:val="24"/>
          <w:szCs w:val="24"/>
        </w:rPr>
        <w:t xml:space="preserve">A. Crédit à Moyen et Long Terme (CMLT) — le programme phare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w:t>
            </w:r>
          </w:p>
        </w:tc>
        <w:tc>
          <w:tcPr>
            <w:tcW w:type="dxa" w:w="5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Détail</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Public cible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en création ou en extension</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Fourchette d’investissement</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100 000 DT à 15 millions DT</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CMLT</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65 % du coût d’investissement, plafonné à 2,5 millions DT</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 à 10 ans selon la rentabilité du projet</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Période de grâce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3 ans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ressources propres</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TMM + 2 % (MT 5-7 ans) à TMM + 4 % (LT 8-10 ans)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lignes extérieures spéciales 2024</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Fixe ≤ 8 %</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Garanties</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Composantes intrinsèques du projet + SOTUGAR (pas de garantie réelle externe exigée)</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Commission d’étude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 flat du montant du crédit</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Commission d’engagement</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 par an sur montant engagé non utilisé</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Modalité création</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Cofinancement avec banque commerciale</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Modalité extension</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Financement intégral si ≥ 3 ans d’activité saine</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Lignes spéciales BFPME 2024</w:t>
            </w:r>
          </w:p>
          <w:p>
            <w:pPr>
              <w:spacing w:after="40"/>
            </w:pPr>
            <w:r>
              <w:rPr>
                <w:rFonts w:ascii="Calibri" w:cs="Calibri" w:eastAsia="Calibri" w:hAnsi="Calibri"/>
                <w:sz w:val="20"/>
                <w:szCs w:val="20"/>
              </w:rPr>
              <w:t xml:space="preserve">Ligne 1 — 10 millions DT, taux fixe ≤ 8 %, durée 10 ans dont 3 ans de grâce — financement PME général.</w:t>
            </w:r>
          </w:p>
          <w:p>
            <w:r>
              <w:rPr>
                <w:rFonts w:ascii="Calibri" w:cs="Calibri" w:eastAsia="Calibri" w:hAnsi="Calibri"/>
                <w:sz w:val="20"/>
                <w:szCs w:val="20"/>
              </w:rPr>
              <w:t xml:space="preserve">Ligne 2 — 10 millions DT, taux fixe ≤ 8 % — priorité énergies renouvelables, économie verte et circulaire.</w:t>
            </w:r>
          </w:p>
        </w:tc>
      </w:tr>
    </w:tbl>
    <w:p>
      <w:pPr>
        <w:pStyle w:val="Heading3"/>
        <w:spacing w:after="120" w:before="240"/>
      </w:pPr>
      <w:r>
        <w:rPr>
          <w:rFonts w:ascii="Calibri" w:cs="Calibri" w:eastAsia="Calibri" w:hAnsi="Calibri"/>
          <w:b/>
          <w:bCs/>
          <w:color w:val="28251D"/>
          <w:sz w:val="24"/>
          <w:szCs w:val="24"/>
        </w:rPr>
        <w:t xml:space="preserve">B. Prêt Participatif « Intilak 2 » — Renforcer les fonds propres</w:t>
      </w:r>
    </w:p>
    <w:p>
      <w:pPr>
        <w:spacing w:after="140" w:line="320"/>
        <w:jc w:val="both"/>
      </w:pPr>
      <w:r>
        <w:rPr>
          <w:rFonts w:ascii="Calibri" w:cs="Calibri" w:eastAsia="Calibri" w:hAnsi="Calibri"/>
          <w:color w:val="28251D"/>
          <w:sz w:val="22"/>
          <w:szCs w:val="22"/>
        </w:rPr>
        <w:t xml:space="preserve">Le prêt Intilak 2 est destiné à renforcer les fonds propres des PME ayant déjà bénéficié d’un CMLT BFPME. Il fonctionne comme du quasi-capital, avec un remboursement long et une période de grâce généreuse.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w:t>
            </w:r>
          </w:p>
        </w:tc>
        <w:tc>
          <w:tcPr>
            <w:tcW w:type="dxa" w:w="5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Détail</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Objet</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Renforcement fonds propres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Éligibilité</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Création, extension, restructuration ayant un CMLT BFPME</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zones développement régional</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300 000 DT</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hors zones</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200 000 DT</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 dans le capital</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60 %</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 de remboursement</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Maximum 10 ans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Période de grâce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Maximum 4 ans</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C. Procédure de demande</w:t>
      </w:r>
    </w:p>
    <w:p>
      <w:pPr>
        <w:pStyle w:val="ListParagraph"/>
        <w:numPr>
          <w:ilvl w:val="0"/>
          <w:numId w:val="4"/>
        </w:numPr>
        <w:spacing w:after="100" w:line="300"/>
      </w:pPr>
      <w:r>
        <w:rPr>
          <w:rFonts w:ascii="Calibri" w:cs="Calibri" w:eastAsia="Calibri" w:hAnsi="Calibri"/>
          <w:color w:val="28251D"/>
          <w:sz w:val="22"/>
          <w:szCs w:val="22"/>
        </w:rPr>
        <w:t xml:space="preserve">Demande de financement signée par le PDG.</w:t>
      </w:r>
    </w:p>
    <w:p>
      <w:pPr>
        <w:pStyle w:val="ListParagraph"/>
        <w:numPr>
          <w:ilvl w:val="0"/>
          <w:numId w:val="4"/>
        </w:numPr>
        <w:spacing w:after="100" w:line="300"/>
      </w:pPr>
      <w:r>
        <w:rPr>
          <w:rFonts w:ascii="Calibri" w:cs="Calibri" w:eastAsia="Calibri" w:hAnsi="Calibri"/>
          <w:color w:val="28251D"/>
          <w:sz w:val="22"/>
          <w:szCs w:val="22"/>
        </w:rPr>
        <w:t xml:space="preserve">Plan d’affaires (modèles disponibles sur bfpme.com.tn).</w:t>
      </w:r>
    </w:p>
    <w:p>
      <w:pPr>
        <w:pStyle w:val="ListParagraph"/>
        <w:numPr>
          <w:ilvl w:val="0"/>
          <w:numId w:val="4"/>
        </w:numPr>
        <w:spacing w:after="100" w:line="300"/>
      </w:pPr>
      <w:r>
        <w:rPr>
          <w:rFonts w:ascii="Calibri" w:cs="Calibri" w:eastAsia="Calibri" w:hAnsi="Calibri"/>
          <w:color w:val="28251D"/>
          <w:sz w:val="22"/>
          <w:szCs w:val="22"/>
        </w:rPr>
        <w:t xml:space="preserve">CIN du promoteur, CV et copies des diplômes.</w:t>
      </w:r>
    </w:p>
    <w:p>
      <w:pPr>
        <w:pStyle w:val="ListParagraph"/>
        <w:numPr>
          <w:ilvl w:val="0"/>
          <w:numId w:val="4"/>
        </w:numPr>
        <w:spacing w:after="100" w:line="300"/>
      </w:pPr>
      <w:r>
        <w:rPr>
          <w:rFonts w:ascii="Calibri" w:cs="Calibri" w:eastAsia="Calibri" w:hAnsi="Calibri"/>
          <w:color w:val="28251D"/>
          <w:sz w:val="22"/>
          <w:szCs w:val="22"/>
        </w:rPr>
        <w:t xml:space="preserve">Répartition détaillée du capital social.</w:t>
      </w:r>
    </w:p>
    <w:p>
      <w:pPr>
        <w:pStyle w:val="ListParagraph"/>
        <w:numPr>
          <w:ilvl w:val="0"/>
          <w:numId w:val="4"/>
        </w:numPr>
        <w:spacing w:after="100" w:line="300"/>
      </w:pPr>
      <w:r>
        <w:rPr>
          <w:rFonts w:ascii="Calibri" w:cs="Calibri" w:eastAsia="Calibri" w:hAnsi="Calibri"/>
          <w:color w:val="28251D"/>
          <w:sz w:val="22"/>
          <w:szCs w:val="22"/>
        </w:rPr>
        <w:t xml:space="preserve">Devis et factures pro forma pour tous les investissements.</w:t>
      </w:r>
    </w:p>
    <w:p>
      <w:pPr>
        <w:pStyle w:val="ListParagraph"/>
        <w:numPr>
          <w:ilvl w:val="0"/>
          <w:numId w:val="4"/>
        </w:numPr>
        <w:spacing w:after="100" w:line="300"/>
      </w:pPr>
      <w:r>
        <w:rPr>
          <w:rFonts w:ascii="Calibri" w:cs="Calibri" w:eastAsia="Calibri" w:hAnsi="Calibri"/>
          <w:color w:val="28251D"/>
          <w:sz w:val="22"/>
          <w:szCs w:val="22"/>
        </w:rPr>
        <w:t xml:space="preserve">Déclaration APII ou APIA selon le secteur.</w:t>
      </w:r>
    </w:p>
    <w:p>
      <w:pPr>
        <w:pStyle w:val="ListParagraph"/>
        <w:numPr>
          <w:ilvl w:val="0"/>
          <w:numId w:val="4"/>
        </w:numPr>
        <w:spacing w:after="100" w:line="300"/>
      </w:pPr>
      <w:r>
        <w:rPr>
          <w:rFonts w:ascii="Calibri" w:cs="Calibri" w:eastAsia="Calibri" w:hAnsi="Calibri"/>
          <w:color w:val="28251D"/>
          <w:sz w:val="22"/>
          <w:szCs w:val="22"/>
        </w:rPr>
        <w:t xml:space="preserve">Autorisations sectorielles éventuelles.</w:t>
      </w:r>
    </w:p>
    <w:p>
      <w:pPr>
        <w:pStyle w:val="ListParagraph"/>
        <w:numPr>
          <w:ilvl w:val="0"/>
          <w:numId w:val="4"/>
        </w:numPr>
        <w:spacing w:after="100" w:line="300"/>
      </w:pPr>
      <w:r>
        <w:rPr>
          <w:rFonts w:ascii="Calibri" w:cs="Calibri" w:eastAsia="Calibri" w:hAnsi="Calibri"/>
          <w:color w:val="28251D"/>
          <w:sz w:val="22"/>
          <w:szCs w:val="22"/>
        </w:rPr>
        <w:t xml:space="preserve">Décharges de dépôt auprès des autres bailleurs.</w:t>
      </w:r>
    </w:p>
    <w:p>
      <w:pPr>
        <w:spacing w:after="140" w:line="320"/>
        <w:jc w:val="both"/>
      </w:pPr>
      <w:r>
        <w:rPr>
          <w:rFonts w:ascii="Calibri" w:cs="Calibri" w:eastAsia="Calibri" w:hAnsi="Calibri"/>
          <w:sz w:val="22"/>
          <w:szCs w:val="22"/>
        </w:rPr>
        <w:t xml:space="preserve">Ressources utiles : </w:t>
      </w:r>
      <w:hyperlink w:history="1" r:id="rIdrnqf4chf03ihhhqxh91pg">
        <w:r>
          <w:rPr>
            <w:rFonts w:ascii="Calibri" w:cs="Calibri" w:eastAsia="Calibri" w:hAnsi="Calibri"/>
            <w:color w:val="01696F"/>
            <w:sz w:val="22"/>
            <w:szCs w:val="22"/>
            <w:u w:val="single"/>
          </w:rPr>
          <w:t xml:space="preserve">Boîte à outils BFPME</w:t>
        </w:r>
      </w:hyperlink>
      <w:r>
        <w:rPr>
          <w:rFonts w:ascii="Calibri" w:cs="Calibri" w:eastAsia="Calibri" w:hAnsi="Calibri"/>
          <w:sz w:val="22"/>
          <w:szCs w:val="22"/>
        </w:rPr>
        <w:t xml:space="preserve"> (modèles de business plan, checklists, formalités post-financement).</w:t>
      </w:r>
    </w:p>
    <w:p>
      <w:pPr>
        <w:pStyle w:val="Heading2"/>
        <w:spacing w:after="160" w:before="320"/>
      </w:pPr>
      <w:r>
        <w:rPr>
          <w:rFonts w:ascii="Calibri" w:cs="Calibri" w:eastAsia="Calibri" w:hAnsi="Calibri"/>
          <w:b/>
          <w:bCs/>
          <w:color w:val="0C4E54"/>
          <w:sz w:val="30"/>
          <w:szCs w:val="30"/>
        </w:rPr>
        <w:t xml:space="preserve">3.2 BTS Bank — La banque des petits promoteurs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Banque Tunisienne de Solidarité</w:t>
            </w:r>
          </w:p>
          <w:p>
            <w:pPr>
              <w:spacing w:after="40"/>
            </w:pPr>
            <w:r>
              <w:rPr>
                <w:rFonts w:ascii="Calibri" w:cs="Calibri" w:eastAsia="Calibri" w:hAnsi="Calibri"/>
                <w:sz w:val="20"/>
                <w:szCs w:val="20"/>
              </w:rPr>
              <w:t xml:space="preserve">Banque publique de développement social créée en 1997. Site : www.bts.com.tn. Mission : financer les petits promoteurs qui n’ont pas accès au crédit bancaire classique.</w:t>
            </w:r>
          </w:p>
          <w:p>
            <w:r>
              <w:rPr>
                <w:rFonts w:ascii="Calibri" w:cs="Calibri" w:eastAsia="Calibri" w:hAnsi="Calibri"/>
                <w:i/>
                <w:iCs/>
                <w:sz w:val="20"/>
                <w:szCs w:val="20"/>
              </w:rPr>
              <w:t xml:space="preserve">Point important : la BTS Bank intervient exclusivement auprès des personnes physiques (entreprises individuelles ou SUARL), contrairement à la BFPME qui finance aussi les personnes morales.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w:t>
            </w:r>
          </w:p>
        </w:tc>
        <w:tc>
          <w:tcPr>
            <w:tcW w:type="dxa" w:w="5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Détail</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Public cible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Personnes physiques tunisiennes, 20 à 60 ans, diplômés ou qualifiés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projet (diplômés supérieur)</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200 000 DT (fonds de roulement inclus)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projet (autres)</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150 000 DT</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Montant crédit</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90 % du coût d’investissement</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Autofinancement exigé</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10 %</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 crédit bancaire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7 ans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 totale avec FONAPRAM</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11 ans (7 ans crédit + 4 ans dotation)</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Période de grâce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 à 12 mois selon nature du projet</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Garanties</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Aucune garantie réelle exigée</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Contribution FNG</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2 % (Fonds National de Garantie)</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Commission d’étude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2 %</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Forme juridique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 individuelle ou SUARL uniquement</w:t>
            </w:r>
          </w:p>
        </w:tc>
      </w:tr>
    </w:tbl>
    <w:p>
      <w:pPr>
        <w:spacing w:after="160"/>
      </w:pPr>
      <w:r>
        <w:rPr>
          <w:rFonts w:ascii="Calibri" w:cs="Calibri" w:eastAsia="Calibri" w:hAnsi="Calibri"/>
        </w:rPr>
        <w:t xml:space="preserve"/>
      </w:r>
    </w:p>
    <w:p>
      <w:pPr>
        <w:pStyle w:val="Heading4"/>
        <w:spacing w:after="80" w:before="180"/>
      </w:pPr>
      <w:r>
        <w:rPr>
          <w:rFonts w:ascii="Calibri" w:cs="Calibri" w:eastAsia="Calibri" w:hAnsi="Calibri"/>
          <w:b/>
          <w:bCs/>
          <w:i w:val="false"/>
          <w:iCs w:val="false"/>
          <w:color w:val="0C4E54"/>
          <w:sz w:val="22"/>
          <w:szCs w:val="22"/>
        </w:rPr>
        <w:t xml:space="preserve">Procédure</w:t>
      </w:r>
    </w:p>
    <w:p>
      <w:pPr>
        <w:spacing w:after="140" w:line="320"/>
        <w:jc w:val="both"/>
      </w:pPr>
      <w:r>
        <w:rPr>
          <w:rFonts w:ascii="Calibri" w:cs="Calibri" w:eastAsia="Calibri" w:hAnsi="Calibri"/>
          <w:color w:val="28251D"/>
          <w:sz w:val="22"/>
          <w:szCs w:val="22"/>
        </w:rPr>
        <w:t xml:space="preserve">Le dossier peut être déposé : dans les agences BTS Bank, dans les bureaux ANETI (pour les jeunes promoteurs), ou auprès des commissariats régionaux de l’artisanat pour les activités artisanales.</w:t>
      </w:r>
    </w:p>
    <w:p>
      <w:pPr>
        <w:pStyle w:val="Heading4"/>
        <w:spacing w:after="80" w:before="180"/>
      </w:pPr>
      <w:r>
        <w:rPr>
          <w:rFonts w:ascii="Calibri" w:cs="Calibri" w:eastAsia="Calibri" w:hAnsi="Calibri"/>
          <w:b/>
          <w:bCs/>
          <w:i w:val="false"/>
          <w:iCs w:val="false"/>
          <w:color w:val="0C4E54"/>
          <w:sz w:val="22"/>
          <w:szCs w:val="22"/>
        </w:rPr>
        <w:t xml:space="preserve">Nouvelles lignes Loi de Finances 2025</w:t>
      </w:r>
    </w:p>
    <w:p>
      <w:pPr>
        <w:pStyle w:val="ListParagraph"/>
        <w:numPr>
          <w:ilvl w:val="0"/>
          <w:numId w:val="2"/>
        </w:numPr>
        <w:spacing w:after="80" w:line="300"/>
      </w:pPr>
      <w:r>
        <w:rPr>
          <w:rFonts w:ascii="Calibri" w:cs="Calibri" w:eastAsia="Calibri" w:hAnsi="Calibri"/>
          <w:color w:val="28251D"/>
          <w:sz w:val="22"/>
          <w:szCs w:val="22"/>
        </w:rPr>
        <w:t xml:space="preserve">Ligne de 20 millions DT : prêts sans intérêt jusqu’à 10 000 DT par bénéficiaire, ciblant les familles à faible revenu et l’insertion économique.</w:t>
      </w:r>
    </w:p>
    <w:p>
      <w:pPr>
        <w:pStyle w:val="ListParagraph"/>
        <w:numPr>
          <w:ilvl w:val="0"/>
          <w:numId w:val="2"/>
        </w:numPr>
        <w:spacing w:after="80" w:line="300"/>
      </w:pPr>
      <w:r>
        <w:rPr>
          <w:rFonts w:ascii="Calibri" w:cs="Calibri" w:eastAsia="Calibri" w:hAnsi="Calibri"/>
          <w:color w:val="28251D"/>
          <w:sz w:val="22"/>
          <w:szCs w:val="22"/>
        </w:rPr>
        <w:t xml:space="preserve">Ligne de 5 millions DT (FNE) : sans co-financement, sans intérêt, pour activités économiques diverses.</w:t>
      </w:r>
    </w:p>
    <w:p>
      <w:pPr>
        <w:pStyle w:val="ListParagraph"/>
        <w:numPr>
          <w:ilvl w:val="0"/>
          <w:numId w:val="2"/>
        </w:numPr>
        <w:spacing w:after="80" w:line="300"/>
      </w:pPr>
      <w:r>
        <w:rPr>
          <w:rFonts w:ascii="Calibri" w:cs="Calibri" w:eastAsia="Calibri" w:hAnsi="Calibri"/>
          <w:color w:val="28251D"/>
          <w:sz w:val="22"/>
          <w:szCs w:val="22"/>
        </w:rPr>
        <w:t xml:space="preserve">Ligne de 2 millions DT (FNE) : création / extension PME, remboursable sur 8 ans dont 2 ans de grâce.</w:t>
      </w:r>
    </w:p>
    <w:p>
      <w:pPr>
        <w:pStyle w:val="Heading2"/>
        <w:spacing w:after="160" w:before="320"/>
      </w:pPr>
      <w:r>
        <w:rPr>
          <w:rFonts w:ascii="Calibri" w:cs="Calibri" w:eastAsia="Calibri" w:hAnsi="Calibri"/>
          <w:b/>
          <w:bCs/>
          <w:color w:val="0C4E54"/>
          <w:sz w:val="30"/>
          <w:szCs w:val="30"/>
        </w:rPr>
        <w:t xml:space="preserve">3.3 SOTUGAR — L’instrument méconnu qui change la donne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Société Tunisienne de Garantie</w:t>
            </w:r>
          </w:p>
          <w:p>
            <w:r>
              <w:rPr>
                <w:rFonts w:ascii="Calibri" w:cs="Calibri" w:eastAsia="Calibri" w:hAnsi="Calibri"/>
                <w:sz w:val="20"/>
                <w:szCs w:val="20"/>
              </w:rPr>
              <w:t xml:space="preserve">Société anonyme à participation étatique majoritaire. Siège : 34, avenue Hédi Karray, Centre Urbain Nord, Menzah 4, 1004 Tunis. Tél : +216 71 752 610. Site : www.sotugar.com.tn.</w:t>
            </w:r>
          </w:p>
        </w:tc>
      </w:tr>
    </w:tbl>
    <w:p>
      <w:pPr>
        <w:spacing w:after="140" w:line="320"/>
        <w:jc w:val="both"/>
      </w:pPr>
      <w:r>
        <w:rPr>
          <w:rFonts w:ascii="Calibri" w:cs="Calibri" w:eastAsia="Calibri" w:hAnsi="Calibri"/>
          <w:color w:val="28251D"/>
          <w:sz w:val="22"/>
          <w:szCs w:val="22"/>
        </w:rPr>
        <w:t xml:space="preserve">La SOTUGAR partage le risque de financement avec les banques, sociétés de leasing et SICAR en garantissant une fraction (50 à 75 %) de leurs concours aux PME. C’est probablement l’instrument le plus sous-utilisé de l’écosystème tunisien : beaucoup d’entrepreneurs ignorent son existence ou ne savent pas qu’elle peut remplacer la garantie réelle exigée par la banque.</w:t>
      </w:r>
    </w:p>
    <w:p>
      <w:pPr>
        <w:pStyle w:val="Heading3"/>
        <w:spacing w:after="120" w:before="240"/>
      </w:pPr>
      <w:r>
        <w:rPr>
          <w:rFonts w:ascii="Calibri" w:cs="Calibri" w:eastAsia="Calibri" w:hAnsi="Calibri"/>
          <w:b/>
          <w:bCs/>
          <w:color w:val="28251D"/>
          <w:sz w:val="24"/>
          <w:szCs w:val="24"/>
        </w:rPr>
        <w:t xml:space="preserve">Commissions de garantie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rPr>
          <w:tblHeader/>
        </w:trPr>
        <w:tc>
          <w:tcPr>
            <w:tcW w:type="dxa" w:w="45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 de concours</w:t>
            </w:r>
          </w:p>
        </w:tc>
        <w:tc>
          <w:tcPr>
            <w:tcW w:type="dxa" w:w="48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Commission</w:t>
            </w:r>
          </w:p>
        </w:tc>
      </w:tr>
      <w:tr>
        <w:tc>
          <w:tcPr>
            <w:tcW w:type="dxa" w:w="4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Crédits à moyen et long terme</w:t>
            </w:r>
          </w:p>
        </w:tc>
        <w:tc>
          <w:tcPr>
            <w:tcW w:type="dxa" w:w="4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0,6 % par an (équivalent flat 0,9 % à 2,6 %)</w:t>
            </w:r>
          </w:p>
        </w:tc>
      </w:tr>
      <w:tr>
        <w:tc>
          <w:tcPr>
            <w:tcW w:type="dxa" w:w="45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Crédits court terme (CCT)</w:t>
            </w:r>
          </w:p>
        </w:tc>
        <w:tc>
          <w:tcPr>
            <w:tcW w:type="dxa" w:w="48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w:t>
            </w:r>
          </w:p>
        </w:tc>
      </w:tr>
      <w:tr>
        <w:tc>
          <w:tcPr>
            <w:tcW w:type="dxa" w:w="4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Apports en fonds propres (SICAR)</w:t>
            </w:r>
          </w:p>
        </w:tc>
        <w:tc>
          <w:tcPr>
            <w:tcW w:type="dxa" w:w="4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3 %</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Les sept fonds de garantie gérés par SOTUGAR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00"/>
        <w:gridCol w:w="3860"/>
      </w:tblGrid>
      <w:tr>
        <w:trPr>
          <w:tblHeader/>
        </w:trPr>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Fonds</w:t>
            </w:r>
          </w:p>
        </w:tc>
        <w:tc>
          <w:tcPr>
            <w:tcW w:type="dxa" w:w="37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Objet</w:t>
            </w:r>
          </w:p>
        </w:tc>
        <w:tc>
          <w:tcPr>
            <w:tcW w:type="dxa" w:w="38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Éligibilité</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FGCE</w:t>
            </w:r>
          </w:p>
        </w:tc>
        <w:tc>
          <w:tcPr>
            <w:tcW w:type="dxa" w:w="3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crédits création d’entreprises</w:t>
            </w:r>
          </w:p>
        </w:tc>
        <w:tc>
          <w:tcPr>
            <w:tcW w:type="dxa" w:w="3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nouvellement créées</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FGJC</w:t>
            </w:r>
          </w:p>
        </w:tc>
        <w:tc>
          <w:tcPr>
            <w:tcW w:type="dxa" w:w="3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crédits jeunes chômeurs</w:t>
            </w:r>
          </w:p>
        </w:tc>
        <w:tc>
          <w:tcPr>
            <w:tcW w:type="dxa" w:w="38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Promoteurs jeunes sans emploi</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FGPME 75-90</w:t>
            </w:r>
          </w:p>
        </w:tc>
        <w:tc>
          <w:tcPr>
            <w:tcW w:type="dxa" w:w="3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Couverture 75 à 90 %</w:t>
            </w:r>
          </w:p>
        </w:tc>
        <w:tc>
          <w:tcPr>
            <w:tcW w:type="dxa" w:w="3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Industries, services IT, R&amp;D</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FGRF</w:t>
            </w:r>
          </w:p>
        </w:tc>
        <w:tc>
          <w:tcPr>
            <w:tcW w:type="dxa" w:w="3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Restructuration financière</w:t>
            </w:r>
          </w:p>
        </w:tc>
        <w:tc>
          <w:tcPr>
            <w:tcW w:type="dxa" w:w="38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en mise à niveau</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FGAT</w:t>
            </w:r>
          </w:p>
        </w:tc>
        <w:tc>
          <w:tcPr>
            <w:tcW w:type="dxa" w:w="3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Artisanat</w:t>
            </w:r>
          </w:p>
        </w:tc>
        <w:tc>
          <w:tcPr>
            <w:tcW w:type="dxa" w:w="3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Activités artisanales</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FGPME II</w:t>
            </w:r>
          </w:p>
        </w:tc>
        <w:tc>
          <w:tcPr>
            <w:tcW w:type="dxa" w:w="3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générale PME</w:t>
            </w:r>
          </w:p>
        </w:tc>
        <w:tc>
          <w:tcPr>
            <w:tcW w:type="dxa" w:w="38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Industries et services</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FGEE</w:t>
            </w:r>
          </w:p>
        </w:tc>
        <w:tc>
          <w:tcPr>
            <w:tcW w:type="dxa" w:w="3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Efficacité énergétique</w:t>
            </w:r>
          </w:p>
        </w:tc>
        <w:tc>
          <w:tcPr>
            <w:tcW w:type="dxa" w:w="38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industrielles, coût ≥ 50 000 USD</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Procédure d’obtention</w:t>
      </w:r>
    </w:p>
    <w:p>
      <w:pPr>
        <w:pStyle w:val="ListParagraph"/>
        <w:numPr>
          <w:ilvl w:val="0"/>
          <w:numId w:val="5"/>
        </w:numPr>
        <w:spacing w:after="100" w:line="300"/>
      </w:pPr>
      <w:r>
        <w:rPr>
          <w:rFonts w:ascii="Calibri" w:cs="Calibri" w:eastAsia="Calibri" w:hAnsi="Calibri"/>
          <w:color w:val="28251D"/>
          <w:sz w:val="22"/>
          <w:szCs w:val="22"/>
        </w:rPr>
        <w:t xml:space="preserve">Le promoteur présente son projet à son partenaire financier (banque, société de leasing, SICAR).</w:t>
      </w:r>
    </w:p>
    <w:p>
      <w:pPr>
        <w:pStyle w:val="ListParagraph"/>
        <w:numPr>
          <w:ilvl w:val="0"/>
          <w:numId w:val="5"/>
        </w:numPr>
        <w:spacing w:after="100" w:line="300"/>
      </w:pPr>
      <w:r>
        <w:rPr>
          <w:rFonts w:ascii="Calibri" w:cs="Calibri" w:eastAsia="Calibri" w:hAnsi="Calibri"/>
          <w:color w:val="28251D"/>
          <w:sz w:val="22"/>
          <w:szCs w:val="22"/>
        </w:rPr>
        <w:t xml:space="preserve">Le partenaire financier approuve le dossier et soumet la demande à SOTUGAR.</w:t>
      </w:r>
    </w:p>
    <w:p>
      <w:pPr>
        <w:pStyle w:val="ListParagraph"/>
        <w:numPr>
          <w:ilvl w:val="0"/>
          <w:numId w:val="5"/>
        </w:numPr>
        <w:spacing w:after="100" w:line="300"/>
      </w:pPr>
      <w:r>
        <w:rPr>
          <w:rFonts w:ascii="Calibri" w:cs="Calibri" w:eastAsia="Calibri" w:hAnsi="Calibri"/>
          <w:color w:val="28251D"/>
          <w:sz w:val="22"/>
          <w:szCs w:val="22"/>
        </w:rPr>
        <w:t xml:space="preserve">SOTUGAR analyse la demande sur la base du plan d’affaires et de l’étude de faisabilité.</w:t>
      </w:r>
    </w:p>
    <w:p>
      <w:pPr>
        <w:pStyle w:val="ListParagraph"/>
        <w:numPr>
          <w:ilvl w:val="0"/>
          <w:numId w:val="5"/>
        </w:numPr>
        <w:spacing w:after="100" w:line="300"/>
      </w:pPr>
      <w:r>
        <w:rPr>
          <w:rFonts w:ascii="Calibri" w:cs="Calibri" w:eastAsia="Calibri" w:hAnsi="Calibri"/>
          <w:color w:val="28251D"/>
          <w:sz w:val="22"/>
          <w:szCs w:val="22"/>
        </w:rPr>
        <w:t xml:space="preserve">Si conforme, SOTUGAR émet la garantie en faveur de l’établissement financier.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À retenir</w:t>
            </w:r>
          </w:p>
          <w:p>
            <w:r>
              <w:rPr>
                <w:rFonts w:ascii="Calibri" w:cs="Calibri" w:eastAsia="Calibri" w:hAnsi="Calibri"/>
                <w:sz w:val="20"/>
                <w:szCs w:val="20"/>
              </w:rPr>
              <w:t xml:space="preserve">La garantie SOTUGAR ne se demande jamais directement : elle passe obligatoirement par votre banque. Si votre banquier ne vous en a pas parlé, c’est à vous de la lui proposer. Cette garantie peut faire la différence entre un dossier rejeté faute de garanties réelles suffisantes et un dossier accepté.</w:t>
            </w:r>
          </w:p>
        </w:tc>
      </w:tr>
    </w:tbl>
    <w:p>
      <w:pPr>
        <w:pStyle w:val="Heading2"/>
        <w:spacing w:after="160" w:before="320"/>
      </w:pPr>
      <w:r>
        <w:rPr>
          <w:rFonts w:ascii="Calibri" w:cs="Calibri" w:eastAsia="Calibri" w:hAnsi="Calibri"/>
          <w:b/>
          <w:bCs/>
          <w:color w:val="0C4E54"/>
          <w:sz w:val="30"/>
          <w:szCs w:val="30"/>
        </w:rPr>
        <w:t xml:space="preserve">3.4 Les SICAR — Sociétés d’Investissement à Capital Risque</w:t>
      </w:r>
    </w:p>
    <w:p>
      <w:pPr>
        <w:spacing w:after="140" w:line="320"/>
        <w:jc w:val="both"/>
      </w:pPr>
      <w:r>
        <w:rPr>
          <w:rFonts w:ascii="Calibri" w:cs="Calibri" w:eastAsia="Calibri" w:hAnsi="Calibri"/>
          <w:color w:val="28251D"/>
          <w:sz w:val="22"/>
          <w:szCs w:val="22"/>
        </w:rPr>
        <w:t xml:space="preserve">Les SICAR sont des sociétés anonymes spécialisées dans la prise de participations minoritaires au capital des entreprises tunisiennes non cotées. Elles interviennent par souscription d’actions ordinaires, certificats d’investissement, titres participatifs, obligations convertibles ou parts sociales. Elles offrent aussi un avantage fiscal aux investisseurs : déduction des bénéfices réinvestis via SICAR (dans les limites du code de l’impôt sur les sociétés).</w:t>
      </w:r>
    </w:p>
    <w:p>
      <w:pPr>
        <w:pStyle w:val="Heading3"/>
        <w:spacing w:after="120" w:before="240"/>
      </w:pPr>
      <w:r>
        <w:rPr>
          <w:rFonts w:ascii="Calibri" w:cs="Calibri" w:eastAsia="Calibri" w:hAnsi="Calibri"/>
          <w:b/>
          <w:bCs/>
          <w:color w:val="28251D"/>
          <w:sz w:val="24"/>
          <w:szCs w:val="24"/>
        </w:rPr>
        <w:t xml:space="preserve">Principales SICAR adossées aux banques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SICAR</w:t>
            </w:r>
          </w:p>
        </w:tc>
        <w:tc>
          <w:tcPr>
            <w:tcW w:type="dxa" w:w="46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Banque / Groupe</w:t>
            </w:r>
          </w:p>
        </w:tc>
      </w:tr>
      <w:tr>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ATTIJARI SICAR</w:t>
            </w:r>
          </w:p>
        </w:tc>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Attijari Bank</w:t>
            </w:r>
          </w:p>
        </w:tc>
      </w:tr>
      <w:tr>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 AMEN</w:t>
            </w:r>
          </w:p>
        </w:tc>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Amen Bank</w:t>
            </w:r>
          </w:p>
        </w:tc>
      </w:tr>
      <w:tr>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 SICAR</w:t>
            </w:r>
          </w:p>
        </w:tc>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 de Tunisie</w:t>
            </w:r>
          </w:p>
        </w:tc>
      </w:tr>
      <w:tr>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SIM SICAR</w:t>
            </w:r>
          </w:p>
        </w:tc>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BH Bank</w:t>
            </w:r>
          </w:p>
        </w:tc>
      </w:tr>
      <w:tr>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 INVEST</w:t>
            </w:r>
          </w:p>
        </w:tc>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BNA</w:t>
            </w:r>
          </w:p>
        </w:tc>
      </w:tr>
      <w:tr>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BTE SICAR</w:t>
            </w:r>
          </w:p>
        </w:tc>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BTE</w:t>
            </w:r>
          </w:p>
        </w:tc>
      </w:tr>
      <w:tr>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STB SICAR</w:t>
            </w:r>
          </w:p>
        </w:tc>
        <w:tc>
          <w:tcPr>
            <w:tcW w:type="dxa" w:w="4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STB</w:t>
            </w:r>
          </w:p>
        </w:tc>
      </w:tr>
      <w:tr>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GLOBAL INVEST SICAR</w:t>
            </w:r>
          </w:p>
        </w:tc>
        <w:tc>
          <w:tcPr>
            <w:tcW w:type="dxa" w:w="4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UBCI / BNP Paribas</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SICAR régionales (développement régional)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SICAR</w:t>
            </w:r>
          </w:p>
        </w:tc>
        <w:tc>
          <w:tcPr>
            <w:tcW w:type="dxa" w:w="3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Région couverte</w:t>
            </w:r>
          </w:p>
        </w:tc>
        <w:tc>
          <w:tcPr>
            <w:tcW w:type="dxa" w:w="3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Contact</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SODIS SICAR</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Médenine</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75 642 558</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SIDCO SICAR</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Kairouan</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77 233 322</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SODINO SICAR</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Siliana</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78 873 078</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FRDCM SICAR</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Gafsa</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76 228 788</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SODICAB SICAR</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Nabeul</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72 230 240</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SODEK SICAR</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Kasserine</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77 478 680</w:t>
            </w:r>
          </w:p>
        </w:tc>
      </w:tr>
    </w:tbl>
    <w:p>
      <w:pPr>
        <w:spacing w:after="160"/>
      </w:pPr>
      <w:r>
        <w:rPr>
          <w:rFonts w:ascii="Calibri" w:cs="Calibri" w:eastAsia="Calibri" w:hAnsi="Calibri"/>
        </w:rPr>
        <w:t xml:space="preserve"/>
      </w:r>
    </w:p>
    <w:p>
      <w:pPr>
        <w:spacing w:after="140" w:line="320"/>
        <w:jc w:val="both"/>
      </w:pPr>
      <w:r>
        <w:rPr>
          <w:rFonts w:ascii="Calibri" w:cs="Calibri" w:eastAsia="Calibri" w:hAnsi="Calibri"/>
          <w:sz w:val="22"/>
          <w:szCs w:val="22"/>
        </w:rPr>
        <w:t xml:space="preserve">Listes complètes : </w:t>
      </w:r>
      <w:hyperlink w:history="1" r:id="rIdssek2d42jy_xvegea7awm">
        <w:r>
          <w:rPr>
            <w:rFonts w:ascii="Calibri" w:cs="Calibri" w:eastAsia="Calibri" w:hAnsi="Calibri"/>
            <w:color w:val="01696F"/>
            <w:sz w:val="19"/>
            <w:szCs w:val="19"/>
            <w:u w:val="single"/>
          </w:rPr>
          <w:t xml:space="preserve">CMF — liste des SICAR</w:t>
        </w:r>
      </w:hyperlink>
      <w:r>
        <w:rPr>
          <w:rFonts w:ascii="Calibri" w:cs="Calibri" w:eastAsia="Calibri" w:hAnsi="Calibri"/>
          <w:sz w:val="22"/>
          <w:szCs w:val="22"/>
        </w:rPr>
        <w:t xml:space="preserve"> — </w:t>
      </w:r>
      <w:hyperlink w:history="1" r:id="rIdcbnfhlscsndxq0gihbjef">
        <w:r>
          <w:rPr>
            <w:rFonts w:ascii="Calibri" w:cs="Calibri" w:eastAsia="Calibri" w:hAnsi="Calibri"/>
            <w:color w:val="01696F"/>
            <w:sz w:val="19"/>
            <w:szCs w:val="19"/>
            <w:u w:val="single"/>
          </w:rPr>
          <w:t xml:space="preserve">BCT OIF</w:t>
        </w:r>
      </w:hyperlink>
      <w:r>
        <w:rPr>
          <w:rFonts w:ascii="Calibri" w:cs="Calibri" w:eastAsia="Calibri" w:hAnsi="Calibri"/>
          <w:sz w:val="22"/>
          <w:szCs w:val="22"/>
        </w:rPr>
        <w:t xml:space="preserve">.</w:t>
      </w:r>
    </w:p>
    <w:p>
      <w:pPr>
        <w:pStyle w:val="Heading1"/>
        <w:pageBreakBefore/>
        <w:spacing w:after="240" w:before="480"/>
      </w:pPr>
      <w:r>
        <w:rPr>
          <w:rFonts w:ascii="Calibri" w:cs="Calibri" w:eastAsia="Calibri" w:hAnsi="Calibri"/>
          <w:b/>
          <w:bCs/>
          <w:color w:val="01696F"/>
          <w:sz w:val="40"/>
          <w:szCs w:val="40"/>
        </w:rPr>
        <w:t xml:space="preserve">Chapitre 4 — La microfinance</w:t>
      </w:r>
    </w:p>
    <w:p>
      <w:pPr>
        <w:spacing w:after="140" w:line="320"/>
        <w:jc w:val="both"/>
      </w:pPr>
      <w:r>
        <w:rPr>
          <w:rFonts w:ascii="Calibri" w:cs="Calibri" w:eastAsia="Calibri" w:hAnsi="Calibri"/>
          <w:color w:val="28251D"/>
          <w:sz w:val="22"/>
          <w:szCs w:val="22"/>
        </w:rPr>
        <w:t xml:space="preserve">La microfinance s’adresse aux micro-entrepreneurs et petites unités économiques exclues du système bancaire classique. Régie par le décret-loi n° 2011-117 et supervisée par l’Autorité de Contrôle de la Microfinance (ACM), elle constitue souvent le premier échelon du parcours de financement pour un projet artisanal, agricole ou commercial.</w:t>
      </w:r>
    </w:p>
    <w:p>
      <w:pPr>
        <w:pStyle w:val="Heading2"/>
        <w:spacing w:after="160" w:before="320"/>
      </w:pPr>
      <w:r>
        <w:rPr>
          <w:rFonts w:ascii="Calibri" w:cs="Calibri" w:eastAsia="Calibri" w:hAnsi="Calibri"/>
          <w:b/>
          <w:bCs/>
          <w:color w:val="0C4E54"/>
          <w:sz w:val="30"/>
          <w:szCs w:val="30"/>
        </w:rPr>
        <w:t xml:space="preserve">4.1 Le cadre réglementaire</w:t>
      </w:r>
    </w:p>
    <w:p>
      <w:pPr>
        <w:spacing w:after="140" w:line="320"/>
        <w:jc w:val="both"/>
      </w:pPr>
      <w:r>
        <w:rPr>
          <w:rFonts w:ascii="Calibri" w:cs="Calibri" w:eastAsia="Calibri" w:hAnsi="Calibri"/>
          <w:color w:val="28251D"/>
          <w:sz w:val="22"/>
          <w:szCs w:val="22"/>
        </w:rPr>
        <w:t xml:space="preserve">Les plafonds légaux des microcrédits, fixés par arrêté du ministre des Finances du 18 janvier 2012, sont les suivants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2580"/>
        <w:gridCol w:w="2580"/>
      </w:tblGrid>
      <w:tr>
        <w:trPr>
          <w:tblHeader/>
        </w:trPr>
        <w:tc>
          <w:tcPr>
            <w:tcW w:type="dxa" w:w="4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 de microcrédit</w:t>
            </w:r>
          </w:p>
        </w:tc>
        <w:tc>
          <w:tcPr>
            <w:tcW w:type="dxa" w:w="25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Associations</w:t>
            </w:r>
          </w:p>
        </w:tc>
        <w:tc>
          <w:tcPr>
            <w:tcW w:type="dxa" w:w="25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Sociétés de microfinance</w:t>
            </w:r>
          </w:p>
        </w:tc>
      </w:tr>
      <w:tr>
        <w:tc>
          <w:tcPr>
            <w:tcW w:type="dxa" w:w="4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Activités génératrices de revenus</w:t>
            </w:r>
          </w:p>
        </w:tc>
        <w:tc>
          <w:tcPr>
            <w:tcW w:type="dxa" w:w="25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10 000 DT</w:t>
            </w:r>
          </w:p>
        </w:tc>
        <w:tc>
          <w:tcPr>
            <w:tcW w:type="dxa" w:w="25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40 000 DT</w:t>
            </w:r>
          </w:p>
        </w:tc>
      </w:tr>
      <w:tr>
        <w:tc>
          <w:tcPr>
            <w:tcW w:type="dxa" w:w="4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Amélioration des conditions de vie</w:t>
            </w:r>
          </w:p>
        </w:tc>
        <w:tc>
          <w:tcPr>
            <w:tcW w:type="dxa" w:w="25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2 000 DT</w:t>
            </w:r>
          </w:p>
        </w:tc>
        <w:tc>
          <w:tcPr>
            <w:tcW w:type="dxa" w:w="25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6 000 DT</w:t>
            </w:r>
          </w:p>
        </w:tc>
      </w:tr>
    </w:tbl>
    <w:p>
      <w:pPr>
        <w:spacing w:after="160"/>
      </w:pPr>
      <w:r>
        <w:rPr>
          <w:rFonts w:ascii="Calibri" w:cs="Calibri" w:eastAsia="Calibri" w:hAnsi="Calibri"/>
        </w:rPr>
        <w:t xml:space="preserve"/>
      </w:r>
    </w:p>
    <w:p>
      <w:pPr>
        <w:spacing w:after="140" w:line="320"/>
        <w:jc w:val="both"/>
      </w:pPr>
      <w:r>
        <w:rPr>
          <w:rFonts w:ascii="Calibri" w:cs="Calibri" w:eastAsia="Calibri" w:hAnsi="Calibri"/>
          <w:color w:val="28251D"/>
          <w:sz w:val="22"/>
          <w:szCs w:val="22"/>
        </w:rPr>
        <w:t xml:space="preserve">Le taux maximum applicable aux microcrédits financés sur ressources publiques (via BTS Bank) est de 5 % + commission de 2,5 %. Les sociétés de microfinance se refinançant sur le marché obligataire pratiquent des TEG plus élevés (15 à 25 %), qui reflètent leur coût de refinancement, leurs frais de gestion et le coût du risque.</w:t>
      </w:r>
    </w:p>
    <w:p>
      <w:pPr>
        <w:pStyle w:val="Heading2"/>
        <w:spacing w:after="160" w:before="320"/>
      </w:pPr>
      <w:r>
        <w:rPr>
          <w:rFonts w:ascii="Calibri" w:cs="Calibri" w:eastAsia="Calibri" w:hAnsi="Calibri"/>
          <w:b/>
          <w:bCs/>
          <w:color w:val="0C4E54"/>
          <w:sz w:val="30"/>
          <w:szCs w:val="30"/>
        </w:rPr>
        <w:t xml:space="preserve">4.2 Enda Tamweel — Le leader incontesté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Enda Tamweel</w:t>
            </w:r>
          </w:p>
          <w:p>
            <w:r>
              <w:rPr>
                <w:rFonts w:ascii="Calibri" w:cs="Calibri" w:eastAsia="Calibri" w:hAnsi="Calibri"/>
                <w:sz w:val="20"/>
                <w:szCs w:val="20"/>
              </w:rPr>
              <w:t xml:space="preserve">Société anonyme de microfinance créée le 8 mai 2014, issue de l’ONG ENDA inter-arabe pionnière depuis 1995. Capital 2025 : 96 millions DT. Siège : rue de l’Assistance, Cité Khadra, 1003 Tunis. Site : www.endatamweel.tn.</w:t>
            </w:r>
          </w:p>
        </w:tc>
      </w:tr>
    </w:tbl>
    <w:p>
      <w:pPr>
        <w:pStyle w:val="Heading3"/>
        <w:spacing w:after="120" w:before="240"/>
      </w:pPr>
      <w:r>
        <w:rPr>
          <w:rFonts w:ascii="Calibri" w:cs="Calibri" w:eastAsia="Calibri" w:hAnsi="Calibri"/>
          <w:b/>
          <w:bCs/>
          <w:color w:val="28251D"/>
          <w:sz w:val="24"/>
          <w:szCs w:val="24"/>
        </w:rPr>
        <w:t xml:space="preserve">Chiffres clés 2025</w:t>
      </w:r>
    </w:p>
    <w:p>
      <w:pPr>
        <w:pStyle w:val="ListParagraph"/>
        <w:numPr>
          <w:ilvl w:val="0"/>
          <w:numId w:val="2"/>
        </w:numPr>
        <w:spacing w:after="80" w:line="300"/>
      </w:pPr>
      <w:r>
        <w:rPr>
          <w:rFonts w:ascii="Calibri" w:cs="Calibri" w:eastAsia="Calibri" w:hAnsi="Calibri"/>
          <w:color w:val="28251D"/>
          <w:sz w:val="22"/>
          <w:szCs w:val="22"/>
        </w:rPr>
        <w:t xml:space="preserve">Encours de crédits au 31 / 03 / 2025 : 1 395,6 millions de dinars (+ 10,1 % sur un an).</w:t>
      </w:r>
    </w:p>
    <w:p>
      <w:pPr>
        <w:pStyle w:val="ListParagraph"/>
        <w:numPr>
          <w:ilvl w:val="0"/>
          <w:numId w:val="2"/>
        </w:numPr>
        <w:spacing w:after="80" w:line="300"/>
      </w:pPr>
      <w:r>
        <w:rPr>
          <w:rFonts w:ascii="Calibri" w:cs="Calibri" w:eastAsia="Calibri" w:hAnsi="Calibri"/>
          <w:color w:val="28251D"/>
          <w:sz w:val="22"/>
          <w:szCs w:val="22"/>
        </w:rPr>
        <w:t xml:space="preserve">Décaissements premier trimestre 2025 : 322,6 millions de dinars.</w:t>
      </w:r>
    </w:p>
    <w:p>
      <w:pPr>
        <w:pStyle w:val="ListParagraph"/>
        <w:numPr>
          <w:ilvl w:val="0"/>
          <w:numId w:val="2"/>
        </w:numPr>
        <w:spacing w:after="80" w:line="300"/>
      </w:pPr>
      <w:r>
        <w:rPr>
          <w:rFonts w:ascii="Calibri" w:cs="Calibri" w:eastAsia="Calibri" w:hAnsi="Calibri"/>
          <w:color w:val="28251D"/>
          <w:sz w:val="22"/>
          <w:szCs w:val="22"/>
        </w:rPr>
        <w:t xml:space="preserve">Notation Fitch : BBB (tun) à perspective stable (octobre 2024).</w:t>
      </w:r>
    </w:p>
    <w:p>
      <w:pPr>
        <w:pStyle w:val="ListParagraph"/>
        <w:numPr>
          <w:ilvl w:val="0"/>
          <w:numId w:val="2"/>
        </w:numPr>
        <w:spacing w:after="80" w:line="300"/>
      </w:pPr>
      <w:r>
        <w:rPr>
          <w:rFonts w:ascii="Calibri" w:cs="Calibri" w:eastAsia="Calibri" w:hAnsi="Calibri"/>
          <w:color w:val="28251D"/>
          <w:sz w:val="22"/>
          <w:szCs w:val="22"/>
        </w:rPr>
        <w:t xml:space="preserve">Première institution de microfinance de Tunisie, classée parmi les plus importantes de la région MENA.</w:t>
      </w:r>
    </w:p>
    <w:p>
      <w:pPr>
        <w:pStyle w:val="Heading3"/>
        <w:spacing w:after="120" w:before="240"/>
      </w:pPr>
      <w:r>
        <w:rPr>
          <w:rFonts w:ascii="Calibri" w:cs="Calibri" w:eastAsia="Calibri" w:hAnsi="Calibri"/>
          <w:b/>
          <w:bCs/>
          <w:color w:val="28251D"/>
          <w:sz w:val="24"/>
          <w:szCs w:val="24"/>
        </w:rPr>
        <w:t xml:space="preserve">Coût du refinancement Enda Tamweel</w:t>
      </w:r>
    </w:p>
    <w:p>
      <w:pPr>
        <w:spacing w:after="140" w:line="320"/>
        <w:jc w:val="both"/>
      </w:pPr>
      <w:r>
        <w:rPr>
          <w:rFonts w:ascii="Calibri" w:cs="Calibri" w:eastAsia="Calibri" w:hAnsi="Calibri"/>
          <w:color w:val="28251D"/>
          <w:sz w:val="22"/>
          <w:szCs w:val="22"/>
        </w:rPr>
        <w:t xml:space="preserve">Pour comprendre les taux finaux appliqués aux bénéficiaires, il est utile de connaître les conditions auxquelles Enda Tamweel se refinance sur le marché obligataire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2680"/>
        <w:gridCol w:w="2680"/>
      </w:tblGrid>
      <w:tr>
        <w:trPr>
          <w:tblHeader/>
        </w:trPr>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Emprunt</w:t>
            </w:r>
          </w:p>
        </w:tc>
        <w:tc>
          <w:tcPr>
            <w:tcW w:type="dxa" w:w="1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Montant</w:t>
            </w:r>
          </w:p>
        </w:tc>
        <w:tc>
          <w:tcPr>
            <w:tcW w:type="dxa" w:w="26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Catégorie A (5 ans)</w:t>
            </w:r>
          </w:p>
        </w:tc>
        <w:tc>
          <w:tcPr>
            <w:tcW w:type="dxa" w:w="26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Catégorie B (7 ans, 2 ans de grâce)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 Tamweel 2024-1</w:t>
            </w:r>
          </w:p>
        </w:tc>
        <w:tc>
          <w:tcPr>
            <w:tcW w:type="dxa" w:w="1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40-50 MDT</w:t>
            </w:r>
          </w:p>
        </w:tc>
        <w:tc>
          <w:tcPr>
            <w:tcW w:type="dxa" w:w="2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10,80 % fixe ou TMM + 2,90 %</w:t>
            </w:r>
          </w:p>
        </w:tc>
        <w:tc>
          <w:tcPr>
            <w:tcW w:type="dxa" w:w="26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11,00 % fixe ou TMM + 3,15 %</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 Tamweel 2025-1</w:t>
            </w:r>
          </w:p>
        </w:tc>
        <w:tc>
          <w:tcPr>
            <w:tcW w:type="dxa" w:w="1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50-60 MDT</w:t>
            </w:r>
          </w:p>
        </w:tc>
        <w:tc>
          <w:tcPr>
            <w:tcW w:type="dxa" w:w="2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10,00 % fixe ou TMM + 2,50 %</w:t>
            </w:r>
          </w:p>
        </w:tc>
        <w:tc>
          <w:tcPr>
            <w:tcW w:type="dxa" w:w="26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10,20 % fixe ou TMM + 2,70 %</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4.3 Taysir Microfinance et autres acteurs</w:t>
      </w:r>
    </w:p>
    <w:p>
      <w:pPr>
        <w:spacing w:after="140" w:line="320"/>
        <w:jc w:val="both"/>
      </w:pPr>
      <w:r>
        <w:rPr>
          <w:rFonts w:ascii="Calibri" w:cs="Calibri" w:eastAsia="Calibri" w:hAnsi="Calibri"/>
          <w:color w:val="28251D"/>
          <w:sz w:val="22"/>
          <w:szCs w:val="22"/>
        </w:rPr>
        <w:t xml:space="preserve">Taysir Microfinance, créée en 2013 et première institution agréée sous la nouvelle loi (mars 2014), constitue la seconde IMF tunisienne. Capital : 12 millions DT. Son produit phare est le Microcrédit Tawfik destiné aux petits entrepreneurs.</w:t>
      </w:r>
    </w:p>
    <w:p>
      <w:pPr>
        <w:pStyle w:val="Heading3"/>
        <w:spacing w:after="120" w:before="240"/>
      </w:pPr>
      <w:r>
        <w:rPr>
          <w:rFonts w:ascii="Calibri" w:cs="Calibri" w:eastAsia="Calibri" w:hAnsi="Calibri"/>
          <w:b/>
          <w:bCs/>
          <w:color w:val="28251D"/>
          <w:sz w:val="24"/>
          <w:szCs w:val="24"/>
        </w:rPr>
        <w:t xml:space="preserve">Autres IMF et acteurs associatifs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600"/>
        <w:gridCol w:w="33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Institution</w:t>
            </w:r>
          </w:p>
        </w:tc>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w:t>
            </w:r>
          </w:p>
        </w:tc>
        <w:tc>
          <w:tcPr>
            <w:tcW w:type="dxa" w:w="3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Particularité</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Baobab Tunisie (ex-Microcred)</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IMF agréée</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Partenariat USAID JOBS, blended finance</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Advans Tunisie</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IMF agréée</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Anciennement active</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CFE — Caisse de Financement</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Financement de petits projets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Association RADES</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Association</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Microfinance rurale</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Association IBDAA</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Association</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Entrepreneuriat féminin</w:t>
            </w:r>
          </w:p>
        </w:tc>
      </w:tr>
    </w:tbl>
    <w:p>
      <w:pPr>
        <w:spacing w:after="140"/>
      </w:pPr>
      <w:r>
        <w:rPr>
          <w:rFonts w:ascii="Calibri" w:cs="Calibri" w:eastAsia="Calibri" w:hAnsi="Calibri"/>
        </w:rPr>
        <w:t xml:space="preserve"/>
      </w:r>
    </w:p>
    <w:p>
      <w:pPr>
        <w:spacing w:after="140" w:line="320"/>
        <w:jc w:val="both"/>
      </w:pPr>
      <w:r>
        <w:rPr>
          <w:rFonts w:ascii="Calibri" w:cs="Calibri" w:eastAsia="Calibri" w:hAnsi="Calibri"/>
          <w:sz w:val="22"/>
          <w:szCs w:val="22"/>
        </w:rPr>
        <w:t xml:space="preserve">Annuaire complet des IMF agréées sur le site de l’ACM : </w:t>
      </w:r>
      <w:hyperlink w:history="1" r:id="rIdnrktsyl0qxnhmqbqgts5g">
        <w:r>
          <w:rPr>
            <w:rFonts w:ascii="Calibri" w:cs="Calibri" w:eastAsia="Calibri" w:hAnsi="Calibri"/>
            <w:color w:val="01696F"/>
            <w:sz w:val="19"/>
            <w:szCs w:val="19"/>
            <w:u w:val="single"/>
          </w:rPr>
          <w:t xml:space="preserve">www.acm.gov.tn</w:t>
        </w:r>
      </w:hyperlink>
      <w:r>
        <w:rPr>
          <w:rFonts w:ascii="Calibri" w:cs="Calibri" w:eastAsia="Calibri" w:hAnsi="Calibri"/>
          <w:sz w:val="22"/>
          <w:szCs w:val="22"/>
        </w:rPr>
        <w:t xml:space="preserve">.</w:t>
      </w:r>
    </w:p>
    <w:p>
      <w:pPr>
        <w:pStyle w:val="Heading1"/>
        <w:pageBreakBefore/>
        <w:spacing w:after="240" w:before="480"/>
      </w:pPr>
      <w:r>
        <w:rPr>
          <w:rFonts w:ascii="Calibri" w:cs="Calibri" w:eastAsia="Calibri" w:hAnsi="Calibri"/>
          <w:b/>
          <w:bCs/>
          <w:color w:val="01696F"/>
          <w:sz w:val="40"/>
          <w:szCs w:val="40"/>
        </w:rPr>
        <w:t xml:space="preserve">Chapitre 5 — Les dispositifs étatiques et fonds publics</w:t>
      </w:r>
    </w:p>
    <w:p>
      <w:pPr>
        <w:spacing w:after="140" w:line="320"/>
        <w:jc w:val="both"/>
      </w:pPr>
      <w:r>
        <w:rPr>
          <w:rFonts w:ascii="Calibri" w:cs="Calibri" w:eastAsia="Calibri" w:hAnsi="Calibri"/>
          <w:color w:val="28251D"/>
          <w:sz w:val="22"/>
          <w:szCs w:val="22"/>
        </w:rPr>
        <w:t xml:space="preserve">L’État tunisien intervient massivement dans le financement des PME via plusieurs fonds publics. La logique consiste à compléter le crédit bancaire par des participations en capital ou des dotations subventionnées qui réduisent le risque pour la banque et allègent la charge financière pour l’entrepreneur.</w:t>
      </w:r>
    </w:p>
    <w:p>
      <w:pPr>
        <w:pStyle w:val="Heading2"/>
        <w:spacing w:after="160" w:before="320"/>
      </w:pPr>
      <w:r>
        <w:rPr>
          <w:rFonts w:ascii="Calibri" w:cs="Calibri" w:eastAsia="Calibri" w:hAnsi="Calibri"/>
          <w:b/>
          <w:bCs/>
          <w:color w:val="0C4E54"/>
          <w:sz w:val="30"/>
          <w:szCs w:val="30"/>
        </w:rPr>
        <w:t xml:space="preserve">5.1 FONAPRAM — Fonds National de Promotion de l’Artisanat et des Petits Métiers</w:t>
      </w:r>
    </w:p>
    <w:p>
      <w:pPr>
        <w:spacing w:after="140" w:line="320"/>
        <w:jc w:val="both"/>
      </w:pPr>
      <w:r>
        <w:rPr>
          <w:rFonts w:ascii="Calibri" w:cs="Calibri" w:eastAsia="Calibri" w:hAnsi="Calibri"/>
          <w:color w:val="28251D"/>
          <w:sz w:val="22"/>
          <w:szCs w:val="22"/>
        </w:rPr>
        <w:t xml:space="preserve">Le FONAPRAM cible spécifiquement les artisans, petits métiers, petits commerçants et petits prestataires de services. Il fonctionne en cofinancement avec une banque commerciale et une dotation État, ce qui limite considérablement l’apport personnel exigé.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rPr>
          <w:tblHeader/>
        </w:trPr>
        <w:tc>
          <w:tcPr>
            <w:tcW w:type="dxa" w:w="3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w:t>
            </w:r>
          </w:p>
        </w:tc>
        <w:tc>
          <w:tcPr>
            <w:tcW w:type="dxa" w:w="30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Tranche &lt; 10 000 DT</w:t>
            </w:r>
          </w:p>
        </w:tc>
        <w:tc>
          <w:tcPr>
            <w:tcW w:type="dxa" w:w="30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Tranche 10 000 à 50 000 DT</w:t>
            </w:r>
          </w:p>
        </w:tc>
      </w:tr>
      <w:tr>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Plafond projet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10 000 DT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50 000 DT</w:t>
            </w:r>
          </w:p>
        </w:tc>
      </w:tr>
      <w:tr>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bancaire</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60 %</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60 %</w:t>
            </w:r>
          </w:p>
        </w:tc>
      </w:tr>
      <w:tr>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Dotation État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36 % + 32 % = 38 %</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Apport promoteur</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4 % + 8 % = 4 à 8 %</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 crédit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 ans</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 ans</w:t>
            </w:r>
          </w:p>
        </w:tc>
      </w:tr>
      <w:tr>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intérêt</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4 %</w:t>
            </w:r>
          </w:p>
        </w:tc>
        <w:tc>
          <w:tcPr>
            <w:tcW w:type="dxa" w:w="30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8 %</w:t>
            </w:r>
          </w:p>
        </w:tc>
      </w:tr>
      <w:tr>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Autofinancement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Néant</w:t>
            </w:r>
          </w:p>
        </w:tc>
        <w:tc>
          <w:tcPr>
            <w:tcW w:type="dxa" w:w="30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Néant</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Exemple concret (UBCI)</w:t>
            </w:r>
          </w:p>
          <w:p>
            <w:r>
              <w:rPr>
                <w:rFonts w:ascii="Calibri" w:cs="Calibri" w:eastAsia="Calibri" w:hAnsi="Calibri"/>
                <w:sz w:val="20"/>
                <w:szCs w:val="20"/>
              </w:rPr>
              <w:t xml:space="preserve">Pour un projet artisanal de 20 000 DT : crédit bancaire 12 000 DT (60 %), dotation État 6 800 DT (34 %), apport promoteur 1 200 DT (6 %). Le coût total pour l’entrepreneur reste largement inférieur au coût réel du projet grâce à la dotation État.</w:t>
            </w:r>
          </w:p>
        </w:tc>
      </w:tr>
    </w:tbl>
    <w:p>
      <w:pPr>
        <w:spacing w:after="140" w:line="320"/>
        <w:jc w:val="both"/>
      </w:pPr>
      <w:r>
        <w:rPr>
          <w:rFonts w:ascii="Calibri" w:cs="Calibri" w:eastAsia="Calibri" w:hAnsi="Calibri"/>
          <w:color w:val="28251D"/>
          <w:sz w:val="22"/>
          <w:szCs w:val="22"/>
        </w:rPr>
        <w:t xml:space="preserve">Le plafond global maximum, selon les banques partenaires, peut atteindre 500 000 DT pour certains projets éligibles. Les conditions d’éligibilité : nationalité tunisienne, statut d’artisan ou prestataire de services à plein temps.</w:t>
      </w:r>
    </w:p>
    <w:p>
      <w:pPr>
        <w:pStyle w:val="Heading2"/>
        <w:spacing w:after="160" w:before="320"/>
      </w:pPr>
      <w:r>
        <w:rPr>
          <w:rFonts w:ascii="Calibri" w:cs="Calibri" w:eastAsia="Calibri" w:hAnsi="Calibri"/>
          <w:b/>
          <w:bCs/>
          <w:color w:val="0C4E54"/>
          <w:sz w:val="30"/>
          <w:szCs w:val="30"/>
        </w:rPr>
        <w:t xml:space="preserve">5.2 FOPRODI — Fonds de Promotion et de Décentralisation Industrielle</w:t>
      </w:r>
    </w:p>
    <w:p>
      <w:pPr>
        <w:spacing w:after="140" w:line="320"/>
        <w:jc w:val="both"/>
      </w:pPr>
      <w:r>
        <w:rPr>
          <w:rFonts w:ascii="Calibri" w:cs="Calibri" w:eastAsia="Calibri" w:hAnsi="Calibri"/>
          <w:color w:val="28251D"/>
          <w:sz w:val="22"/>
          <w:szCs w:val="22"/>
        </w:rPr>
        <w:t xml:space="preserve">Le FOPRODI est le grand dispositif d’appui aux nouveaux promoteurs industriels. Géré par l’APII en partenariat avec les banques commerciales conventionnées, il propose deux options complémentaires : la participation au capital ou la dotation remboursable.</w:t>
      </w:r>
    </w:p>
    <w:p>
      <w:pPr>
        <w:pStyle w:val="Heading3"/>
        <w:spacing w:after="120" w:before="240"/>
      </w:pPr>
      <w:r>
        <w:rPr>
          <w:rFonts w:ascii="Calibri" w:cs="Calibri" w:eastAsia="Calibri" w:hAnsi="Calibri"/>
          <w:b/>
          <w:bCs/>
          <w:color w:val="28251D"/>
          <w:sz w:val="24"/>
          <w:szCs w:val="24"/>
        </w:rPr>
        <w:t xml:space="preserve">Option A — Participation FOPRODI au capital</w:t>
      </w:r>
    </w:p>
    <w:p>
      <w:pPr>
        <w:spacing w:after="140" w:line="320"/>
        <w:jc w:val="both"/>
      </w:pPr>
      <w:r>
        <w:rPr>
          <w:rFonts w:ascii="Calibri" w:cs="Calibri" w:eastAsia="Calibri" w:hAnsi="Calibri"/>
          <w:color w:val="28251D"/>
          <w:sz w:val="22"/>
          <w:szCs w:val="22"/>
        </w:rPr>
        <w:t xml:space="preserve">Le FOPRODI entre directement au capital de l’entreprise pour une durée maximale de 12 ans, puis se retire au nominal majoré de 1 % par an pour les projets ≤ 2 MDT, ou 3 % par an pour les projets &gt; 2 MDT.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400"/>
        <w:gridCol w:w="2230"/>
        <w:gridCol w:w="2230"/>
      </w:tblGrid>
      <w:tr>
        <w:trPr>
          <w:tblHeader/>
        </w:trPr>
        <w:tc>
          <w:tcPr>
            <w:tcW w:type="dxa" w:w="25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Coût d’investissement</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Participation FOPRODI</w:t>
            </w:r>
          </w:p>
        </w:tc>
        <w:tc>
          <w:tcPr>
            <w:tcW w:type="dxa" w:w="223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Apport personnel minimum</w:t>
            </w:r>
          </w:p>
        </w:tc>
        <w:tc>
          <w:tcPr>
            <w:tcW w:type="dxa" w:w="223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Participation SICAR / FCPR</w:t>
            </w:r>
          </w:p>
        </w:tc>
      </w:tr>
      <w:tr>
        <w:tc>
          <w:tcPr>
            <w:tcW w:type="dxa" w:w="2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2 millions DT</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&lt; 60 % du capital</w:t>
            </w:r>
          </w:p>
        </w:tc>
        <w:tc>
          <w:tcPr>
            <w:tcW w:type="dxa" w:w="223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10 % du capital</w:t>
            </w:r>
          </w:p>
        </w:tc>
        <w:tc>
          <w:tcPr>
            <w:tcW w:type="dxa" w:w="223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10 % du capital</w:t>
            </w:r>
          </w:p>
        </w:tc>
      </w:tr>
      <w:tr>
        <w:tc>
          <w:tcPr>
            <w:tcW w:type="dxa" w:w="25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2 millions DT</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&lt; 30 % du capital</w:t>
            </w:r>
          </w:p>
        </w:tc>
        <w:tc>
          <w:tcPr>
            <w:tcW w:type="dxa" w:w="223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20 % du capital</w:t>
            </w:r>
          </w:p>
        </w:tc>
        <w:tc>
          <w:tcPr>
            <w:tcW w:type="dxa" w:w="223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20 % du capital</w:t>
            </w:r>
          </w:p>
        </w:tc>
      </w:tr>
    </w:tbl>
    <w:p>
      <w:pPr>
        <w:spacing w:after="160"/>
      </w:pPr>
      <w:r>
        <w:rPr>
          <w:rFonts w:ascii="Calibri" w:cs="Calibri" w:eastAsia="Calibri" w:hAnsi="Calibri"/>
        </w:rPr>
        <w:t xml:space="preserve"/>
      </w:r>
    </w:p>
    <w:p>
      <w:pPr>
        <w:pStyle w:val="Heading3"/>
        <w:spacing w:after="120" w:before="240"/>
      </w:pPr>
      <w:r>
        <w:rPr>
          <w:rFonts w:ascii="Calibri" w:cs="Calibri" w:eastAsia="Calibri" w:hAnsi="Calibri"/>
          <w:b/>
          <w:bCs/>
          <w:color w:val="28251D"/>
          <w:sz w:val="24"/>
          <w:szCs w:val="24"/>
        </w:rPr>
        <w:t xml:space="preserve">Option B — Dotation FOPRODI (subvention remboursable)</w:t>
      </w:r>
    </w:p>
    <w:p>
      <w:pPr>
        <w:pStyle w:val="ListParagraph"/>
        <w:numPr>
          <w:ilvl w:val="0"/>
          <w:numId w:val="2"/>
        </w:numPr>
        <w:spacing w:after="80" w:line="300"/>
      </w:pPr>
      <w:r>
        <w:rPr>
          <w:rFonts w:ascii="Calibri" w:cs="Calibri" w:eastAsia="Calibri" w:hAnsi="Calibri"/>
          <w:color w:val="28251D"/>
          <w:sz w:val="22"/>
          <w:szCs w:val="22"/>
        </w:rPr>
        <w:t xml:space="preserve">Réservée aux investissements ≤ 1 000 000 DT.</w:t>
      </w:r>
    </w:p>
    <w:p>
      <w:pPr>
        <w:pStyle w:val="ListParagraph"/>
        <w:numPr>
          <w:ilvl w:val="0"/>
          <w:numId w:val="2"/>
        </w:numPr>
        <w:spacing w:after="80" w:line="300"/>
      </w:pPr>
      <w:r>
        <w:rPr>
          <w:rFonts w:ascii="Calibri" w:cs="Calibri" w:eastAsia="Calibri" w:hAnsi="Calibri"/>
          <w:color w:val="28251D"/>
          <w:sz w:val="22"/>
          <w:szCs w:val="22"/>
        </w:rPr>
        <w:t xml:space="preserve">Accordée aux nouveaux promoteurs personnes physiques.</w:t>
      </w:r>
    </w:p>
    <w:p>
      <w:pPr>
        <w:pStyle w:val="ListParagraph"/>
        <w:numPr>
          <w:ilvl w:val="0"/>
          <w:numId w:val="2"/>
        </w:numPr>
        <w:spacing w:after="80" w:line="300"/>
      </w:pPr>
      <w:r>
        <w:rPr>
          <w:rFonts w:ascii="Calibri" w:cs="Calibri" w:eastAsia="Calibri" w:hAnsi="Calibri"/>
          <w:color w:val="28251D"/>
          <w:sz w:val="22"/>
          <w:szCs w:val="22"/>
        </w:rPr>
        <w:t xml:space="preserve">Taux d’intérêt : 3 % par an.</w:t>
      </w:r>
    </w:p>
    <w:p>
      <w:pPr>
        <w:pStyle w:val="ListParagraph"/>
        <w:numPr>
          <w:ilvl w:val="0"/>
          <w:numId w:val="2"/>
        </w:numPr>
        <w:spacing w:after="80" w:line="300"/>
      </w:pPr>
      <w:r>
        <w:rPr>
          <w:rFonts w:ascii="Calibri" w:cs="Calibri" w:eastAsia="Calibri" w:hAnsi="Calibri"/>
          <w:color w:val="28251D"/>
          <w:sz w:val="22"/>
          <w:szCs w:val="22"/>
        </w:rPr>
        <w:t xml:space="preserve">Durée : 12 ans dont 5 ans de grâce.</w:t>
      </w:r>
    </w:p>
    <w:p>
      <w:pPr>
        <w:pStyle w:val="ListParagraph"/>
        <w:numPr>
          <w:ilvl w:val="0"/>
          <w:numId w:val="2"/>
        </w:numPr>
        <w:spacing w:after="80" w:line="300"/>
      </w:pPr>
      <w:r>
        <w:rPr>
          <w:rFonts w:ascii="Calibri" w:cs="Calibri" w:eastAsia="Calibri" w:hAnsi="Calibri"/>
          <w:color w:val="28251D"/>
          <w:sz w:val="22"/>
          <w:szCs w:val="22"/>
        </w:rPr>
        <w:t xml:space="preserve">Sollicitée auprès des banques commerciales conventionnées.</w:t>
      </w:r>
    </w:p>
    <w:p>
      <w:pPr>
        <w:pStyle w:val="Heading3"/>
        <w:spacing w:after="120" w:before="240"/>
      </w:pPr>
      <w:r>
        <w:rPr>
          <w:rFonts w:ascii="Calibri" w:cs="Calibri" w:eastAsia="Calibri" w:hAnsi="Calibri"/>
          <w:b/>
          <w:bCs/>
          <w:color w:val="28251D"/>
          <w:sz w:val="24"/>
          <w:szCs w:val="24"/>
        </w:rPr>
        <w:t xml:space="preserve">Avantages complémentaires selon zone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600"/>
        <w:gridCol w:w="2000"/>
        <w:gridCol w:w="19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Zone</w:t>
            </w:r>
          </w:p>
        </w:tc>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Prime d’investissement</w:t>
            </w:r>
          </w:p>
        </w:tc>
        <w:tc>
          <w:tcPr>
            <w:tcW w:type="dxa" w:w="2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Prise en charge infrastructure</w:t>
            </w:r>
          </w:p>
        </w:tc>
        <w:tc>
          <w:tcPr>
            <w:tcW w:type="dxa" w:w="1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Charges sociales patronales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 prioritaire Groupe 1</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25 % (plafond 1,5 MDT)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85 %</w:t>
            </w:r>
          </w:p>
        </w:tc>
        <w:tc>
          <w:tcPr>
            <w:tcW w:type="dxa" w:w="1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 ans</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 prioritaire Groupe 2</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15 % (plafond 1 MDT)</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75 %</w:t>
            </w:r>
          </w:p>
        </w:tc>
        <w:tc>
          <w:tcPr>
            <w:tcW w:type="dxa" w:w="1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 ans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Zones prioritaires renforcées</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30 % (plafond 2 MDT)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85 %</w:t>
            </w:r>
          </w:p>
        </w:tc>
        <w:tc>
          <w:tcPr>
            <w:tcW w:type="dxa" w:w="1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ans</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5.3 FTI — Fonds Tunisien de l’Investissement</w:t>
      </w:r>
    </w:p>
    <w:p>
      <w:pPr>
        <w:spacing w:after="140" w:line="320"/>
        <w:jc w:val="both"/>
      </w:pPr>
      <w:r>
        <w:rPr>
          <w:rFonts w:ascii="Calibri" w:cs="Calibri" w:eastAsia="Calibri" w:hAnsi="Calibri"/>
          <w:color w:val="28251D"/>
          <w:sz w:val="22"/>
          <w:szCs w:val="22"/>
        </w:rPr>
        <w:t xml:space="preserve">Le FTI, géré par l’Instance Tunisienne de l’Investissement (ITI) sous tutelle du Ministère de l’Économie, prend des participations au capital des entreprises pour les investissements dans les secteurs prioritaires et zones de développement régional. Plafond de participation : 2 millions DT par projet. Rétrocession à la valeur nominale dans un délai maximum de 12 ans, majorée de 1 % à 3 % par an selon le coût.</w:t>
      </w:r>
    </w:p>
    <w:p>
      <w:pPr>
        <w:pStyle w:val="Heading3"/>
        <w:spacing w:after="120" w:before="240"/>
      </w:pPr>
      <w:r>
        <w:rPr>
          <w:rFonts w:ascii="Calibri" w:cs="Calibri" w:eastAsia="Calibri" w:hAnsi="Calibri"/>
          <w:b/>
          <w:bCs/>
          <w:color w:val="28251D"/>
          <w:sz w:val="24"/>
          <w:szCs w:val="24"/>
        </w:rPr>
        <w:t xml:space="preserve">Prêts fonciers FTI (jeunes agriculteurs)</w:t>
      </w:r>
    </w:p>
    <w:p>
      <w:pPr>
        <w:pStyle w:val="ListParagraph"/>
        <w:numPr>
          <w:ilvl w:val="0"/>
          <w:numId w:val="2"/>
        </w:numPr>
        <w:spacing w:after="80" w:line="300"/>
      </w:pPr>
      <w:r>
        <w:rPr>
          <w:rFonts w:ascii="Calibri" w:cs="Calibri" w:eastAsia="Calibri" w:hAnsi="Calibri"/>
          <w:color w:val="28251D"/>
          <w:sz w:val="22"/>
          <w:szCs w:val="22"/>
        </w:rPr>
        <w:t xml:space="preserve">Public : agriculteurs de moins de 40 ans.</w:t>
      </w:r>
    </w:p>
    <w:p>
      <w:pPr>
        <w:pStyle w:val="ListParagraph"/>
        <w:numPr>
          <w:ilvl w:val="0"/>
          <w:numId w:val="2"/>
        </w:numPr>
        <w:spacing w:after="80" w:line="300"/>
      </w:pPr>
      <w:r>
        <w:rPr>
          <w:rFonts w:ascii="Calibri" w:cs="Calibri" w:eastAsia="Calibri" w:hAnsi="Calibri"/>
          <w:color w:val="28251D"/>
          <w:sz w:val="22"/>
          <w:szCs w:val="22"/>
        </w:rPr>
        <w:t xml:space="preserve">Montant : jusqu’à 250 000 DT (125 000 DT si achat auprès d’ascendants).</w:t>
      </w:r>
    </w:p>
    <w:p>
      <w:pPr>
        <w:pStyle w:val="ListParagraph"/>
        <w:numPr>
          <w:ilvl w:val="0"/>
          <w:numId w:val="2"/>
        </w:numPr>
        <w:spacing w:after="80" w:line="300"/>
      </w:pPr>
      <w:r>
        <w:rPr>
          <w:rFonts w:ascii="Calibri" w:cs="Calibri" w:eastAsia="Calibri" w:hAnsi="Calibri"/>
          <w:color w:val="28251D"/>
          <w:sz w:val="22"/>
          <w:szCs w:val="22"/>
        </w:rPr>
        <w:t xml:space="preserve">Durée : 25 ans dont 5 ans de grâce.</w:t>
      </w:r>
    </w:p>
    <w:p>
      <w:pPr>
        <w:pStyle w:val="ListParagraph"/>
        <w:numPr>
          <w:ilvl w:val="0"/>
          <w:numId w:val="2"/>
        </w:numPr>
        <w:spacing w:after="80" w:line="300"/>
      </w:pPr>
      <w:r>
        <w:rPr>
          <w:rFonts w:ascii="Calibri" w:cs="Calibri" w:eastAsia="Calibri" w:hAnsi="Calibri"/>
          <w:color w:val="28251D"/>
          <w:sz w:val="22"/>
          <w:szCs w:val="22"/>
        </w:rPr>
        <w:t xml:space="preserve">Taux : 5 %.</w:t>
      </w:r>
    </w:p>
    <w:p>
      <w:pPr>
        <w:pStyle w:val="Heading2"/>
        <w:spacing w:after="160" w:before="320"/>
      </w:pPr>
      <w:r>
        <w:rPr>
          <w:rFonts w:ascii="Calibri" w:cs="Calibri" w:eastAsia="Calibri" w:hAnsi="Calibri"/>
          <w:b/>
          <w:bCs/>
          <w:color w:val="0C4E54"/>
          <w:sz w:val="30"/>
          <w:szCs w:val="30"/>
        </w:rPr>
        <w:t xml:space="preserve">5.4 RIITI — Régime d’Incitation à l’Innovation dans les TIC</w:t>
      </w:r>
    </w:p>
    <w:p>
      <w:pPr>
        <w:spacing w:after="140" w:line="320"/>
        <w:jc w:val="both"/>
      </w:pPr>
      <w:r>
        <w:rPr>
          <w:rFonts w:ascii="Calibri" w:cs="Calibri" w:eastAsia="Calibri" w:hAnsi="Calibri"/>
          <w:color w:val="28251D"/>
          <w:sz w:val="22"/>
          <w:szCs w:val="22"/>
        </w:rPr>
        <w:t xml:space="preserve">Le RIITI, géré par le Ministère des Technologies de la Communication, encourage les entreprises du secteur des TIC à investir dans l’innovation. Il propose une prime d’innovation, une prise en charge partielle des coûts R&amp;D, et l’accès aux garanties SOTUGAR via le fonds FGPME 75-90 spécifiquement ouvert aux projets RIITI. Secteurs couverts : services informatiques, production de logiciels, R&amp;D en TIC, services d’étude et conseil en technologie.</w:t>
      </w:r>
    </w:p>
    <w:p>
      <w:pPr>
        <w:pStyle w:val="Heading2"/>
        <w:spacing w:after="160" w:before="320"/>
      </w:pPr>
      <w:r>
        <w:rPr>
          <w:rFonts w:ascii="Calibri" w:cs="Calibri" w:eastAsia="Calibri" w:hAnsi="Calibri"/>
          <w:b/>
          <w:bCs/>
          <w:color w:val="0C4E54"/>
          <w:sz w:val="30"/>
          <w:szCs w:val="30"/>
        </w:rPr>
        <w:t xml:space="preserve">5.5 CDC Tunisie et Smart Capital — Le moteur du capital-risque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Caisse des Dépôts et Consignations (CDC)</w:t>
            </w:r>
          </w:p>
          <w:p>
            <w:r>
              <w:rPr>
                <w:rFonts w:ascii="Calibri" w:cs="Calibri" w:eastAsia="Calibri" w:hAnsi="Calibri"/>
                <w:sz w:val="20"/>
                <w:szCs w:val="20"/>
              </w:rPr>
              <w:t xml:space="preserve">Institution financière publique. Siège : 07, rue Abou Hamed El Ghazali, Jardins du Japon, Montplaisir, Tunis. Tél : +216 71 905 999. Site : www.cdc.tn.</w:t>
            </w:r>
          </w:p>
        </w:tc>
      </w:tr>
    </w:tbl>
    <w:p>
      <w:pPr>
        <w:spacing w:after="140" w:line="320"/>
        <w:jc w:val="both"/>
      </w:pPr>
      <w:r>
        <w:rPr>
          <w:rFonts w:ascii="Calibri" w:cs="Calibri" w:eastAsia="Calibri" w:hAnsi="Calibri"/>
          <w:color w:val="28251D"/>
          <w:sz w:val="22"/>
          <w:szCs w:val="22"/>
        </w:rPr>
        <w:t xml:space="preserve">La CDC collecte les ressources à long terme (dépôts de la CENT, consignations judiciaires) pour les réinvestir dans des projets d’intérêt général. Elle soutient les PME, startups et projets créatifs à valeur ajoutée nationale, notamment en matière de digitalisation, d’investissement régional, de transition énergétique et de partenariats public-privé.</w:t>
      </w:r>
    </w:p>
    <w:p>
      <w:pPr>
        <w:pStyle w:val="Heading3"/>
        <w:spacing w:after="120" w:before="240"/>
      </w:pPr>
      <w:r>
        <w:rPr>
          <w:rFonts w:ascii="Calibri" w:cs="Calibri" w:eastAsia="Calibri" w:hAnsi="Calibri"/>
          <w:b/>
          <w:bCs/>
          <w:color w:val="28251D"/>
          <w:sz w:val="24"/>
          <w:szCs w:val="24"/>
        </w:rPr>
        <w:t xml:space="preserve">Smart Capital et le fonds de fonds ANAVA</w:t>
      </w:r>
    </w:p>
    <w:p>
      <w:pPr>
        <w:spacing w:after="140" w:line="320"/>
        <w:jc w:val="both"/>
      </w:pPr>
      <w:r>
        <w:rPr>
          <w:rFonts w:ascii="Calibri" w:cs="Calibri" w:eastAsia="Calibri" w:hAnsi="Calibri"/>
          <w:color w:val="28251D"/>
          <w:sz w:val="22"/>
          <w:szCs w:val="22"/>
        </w:rPr>
        <w:t xml:space="preserve">Smart Capital est la société agréée par le CMF, mandatée par le gouvernement pour piloter le programme national « Startup Tunisia ». Elle gère le fonds de fonds ANAVA, premier véhicule de ce type en Tunisie.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Caractéristique</w:t>
            </w:r>
          </w:p>
        </w:tc>
        <w:tc>
          <w:tcPr>
            <w:tcW w:type="dxa" w:w="5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Détail</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Nature</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de fonds libellé en euros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Taille cible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millions d’euros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Premier closing</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40 M€ (CDC via Banque Mondiale) + 20 M€ (KfW)</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Mission</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Investir dans des fonds VC tunisiens qui financent les startups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partenaires (à ce jour)</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LoftyInc Alpha Fund I (2,5 M$), Rasmal Innovation Fund I (4 M$)</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Programme InnovaTech</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de co-investissement de 17 M€, 7 investissements réalisés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Bilan 2025</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30 M$ investis dans 4 fonds (levant 67 M$), 11 investissements directs</w:t>
            </w:r>
          </w:p>
        </w:tc>
      </w:tr>
    </w:tbl>
    <w:p>
      <w:pPr>
        <w:pStyle w:val="Heading1"/>
        <w:pageBreakBefore/>
        <w:spacing w:after="240" w:before="480"/>
      </w:pPr>
      <w:r>
        <w:rPr>
          <w:rFonts w:ascii="Calibri" w:cs="Calibri" w:eastAsia="Calibri" w:hAnsi="Calibri"/>
          <w:b/>
          <w:bCs/>
          <w:color w:val="01696F"/>
          <w:sz w:val="40"/>
          <w:szCs w:val="40"/>
        </w:rPr>
        <w:t xml:space="preserve">Chapitre 6 — Le Startup Act tunisien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Loi n° 2018-20 du 17 avril 2018 relative aux startups</w:t>
            </w:r>
          </w:p>
          <w:p>
            <w:r>
              <w:rPr>
                <w:rFonts w:ascii="Calibri" w:cs="Calibri" w:eastAsia="Calibri" w:hAnsi="Calibri"/>
                <w:sz w:val="20"/>
                <w:szCs w:val="20"/>
              </w:rPr>
              <w:t xml:space="preserve">Texte de référence + décret d’application n° 2018-840 du 11 octobre 2018 + circulaires BCT n° 2019-01 et 2019-02. Portail officiel : </w:t>
            </w:r>
            <w:hyperlink w:history="1" r:id="rIdyd3ntso6fs7fw_xc8pye9">
              <w:r>
                <w:rPr>
                  <w:rFonts w:ascii="Calibri" w:cs="Calibri" w:eastAsia="Calibri" w:hAnsi="Calibri"/>
                  <w:color w:val="01696F"/>
                  <w:sz w:val="20"/>
                  <w:szCs w:val="20"/>
                  <w:u w:val="single"/>
                </w:rPr>
                <w:t xml:space="preserve">startup.gov.tn</w:t>
              </w:r>
            </w:hyperlink>
            <w:r>
              <w:rPr>
                <w:rFonts w:ascii="Calibri" w:cs="Calibri" w:eastAsia="Calibri" w:hAnsi="Calibri"/>
                <w:sz w:val="20"/>
                <w:szCs w:val="20"/>
              </w:rPr>
              <w:t xml:space="preserve">. Gestionnaire : Smart Capital SA mandatée par le gouvernement.</w:t>
            </w:r>
          </w:p>
        </w:tc>
      </w:tr>
    </w:tbl>
    <w:p>
      <w:pPr>
        <w:spacing w:after="140" w:line="320"/>
        <w:jc w:val="both"/>
      </w:pPr>
      <w:r>
        <w:rPr>
          <w:rFonts w:ascii="Calibri" w:cs="Calibri" w:eastAsia="Calibri" w:hAnsi="Calibri"/>
          <w:color w:val="28251D"/>
          <w:sz w:val="22"/>
          <w:szCs w:val="22"/>
        </w:rPr>
        <w:t xml:space="preserve">Le Startup Act est l’une des législations entrepreneuriales les plus avant-gardistes de la région MENA. Il offre un cadre juridique et fiscal exceptionnel aux entreprises innovantes labellisées, avec des avantages cumulatifs qu’aucun autre dispositif tunisien ne procure.</w:t>
      </w:r>
    </w:p>
    <w:p>
      <w:pPr>
        <w:pStyle w:val="Heading2"/>
        <w:spacing w:after="160" w:before="320"/>
      </w:pPr>
      <w:r>
        <w:rPr>
          <w:rFonts w:ascii="Calibri" w:cs="Calibri" w:eastAsia="Calibri" w:hAnsi="Calibri"/>
          <w:b/>
          <w:bCs/>
          <w:color w:val="0C4E54"/>
          <w:sz w:val="30"/>
          <w:szCs w:val="30"/>
        </w:rPr>
        <w:t xml:space="preserve">6.1 Les cinq critères d’éligibilité au Label Startup</w:t>
      </w:r>
    </w:p>
    <w:p>
      <w:pPr>
        <w:pStyle w:val="ListParagraph"/>
        <w:numPr>
          <w:ilvl w:val="0"/>
          <w:numId w:val="6"/>
        </w:numPr>
        <w:spacing w:after="100" w:line="300"/>
      </w:pPr>
      <w:r>
        <w:rPr>
          <w:rFonts w:ascii="Calibri" w:cs="Calibri" w:eastAsia="Calibri" w:hAnsi="Calibri"/>
          <w:color w:val="28251D"/>
          <w:sz w:val="22"/>
          <w:szCs w:val="22"/>
        </w:rPr>
        <w:t xml:space="preserve">Âge : moins de 8 ans depuis la constitution juridique.</w:t>
      </w:r>
    </w:p>
    <w:p>
      <w:pPr>
        <w:pStyle w:val="ListParagraph"/>
        <w:numPr>
          <w:ilvl w:val="0"/>
          <w:numId w:val="6"/>
        </w:numPr>
        <w:spacing w:after="100" w:line="300"/>
      </w:pPr>
      <w:r>
        <w:rPr>
          <w:rFonts w:ascii="Calibri" w:cs="Calibri" w:eastAsia="Calibri" w:hAnsi="Calibri"/>
          <w:color w:val="28251D"/>
          <w:sz w:val="22"/>
          <w:szCs w:val="22"/>
        </w:rPr>
        <w:t xml:space="preserve">Taille : moins de 100 employés ET total bilan ou chiffre d’affaires annuel inférieur à 15 millions DT.</w:t>
      </w:r>
    </w:p>
    <w:p>
      <w:pPr>
        <w:pStyle w:val="ListParagraph"/>
        <w:numPr>
          <w:ilvl w:val="0"/>
          <w:numId w:val="6"/>
        </w:numPr>
        <w:spacing w:after="100" w:line="300"/>
      </w:pPr>
      <w:r>
        <w:rPr>
          <w:rFonts w:ascii="Calibri" w:cs="Calibri" w:eastAsia="Calibri" w:hAnsi="Calibri"/>
          <w:color w:val="28251D"/>
          <w:sz w:val="22"/>
          <w:szCs w:val="22"/>
        </w:rPr>
        <w:t xml:space="preserve">Indépendance du capital : plus des deux tiers du capital détenus par des personnes physiques (fondateurs), des organismes d’investissement réglementés ou des startups étrangères.</w:t>
      </w:r>
    </w:p>
    <w:p>
      <w:pPr>
        <w:pStyle w:val="ListParagraph"/>
        <w:numPr>
          <w:ilvl w:val="0"/>
          <w:numId w:val="6"/>
        </w:numPr>
        <w:spacing w:after="100" w:line="300"/>
      </w:pPr>
      <w:r>
        <w:rPr>
          <w:rFonts w:ascii="Calibri" w:cs="Calibri" w:eastAsia="Calibri" w:hAnsi="Calibri"/>
          <w:color w:val="28251D"/>
          <w:sz w:val="22"/>
          <w:szCs w:val="22"/>
        </w:rPr>
        <w:t xml:space="preserve">Innovation : modèle économique innovant apportant une solution différenciée à un problème donné.</w:t>
      </w:r>
    </w:p>
    <w:p>
      <w:pPr>
        <w:pStyle w:val="ListParagraph"/>
        <w:numPr>
          <w:ilvl w:val="0"/>
          <w:numId w:val="6"/>
        </w:numPr>
        <w:spacing w:after="100" w:line="300"/>
      </w:pPr>
      <w:r>
        <w:rPr>
          <w:rFonts w:ascii="Calibri" w:cs="Calibri" w:eastAsia="Calibri" w:hAnsi="Calibri"/>
          <w:color w:val="28251D"/>
          <w:sz w:val="22"/>
          <w:szCs w:val="22"/>
        </w:rPr>
        <w:t xml:space="preserve">Scalabilité : marché cible vaste, solution adaptable, niveau minimum de maturité (proof of concept démontré), équipe capable.</w:t>
      </w:r>
    </w:p>
    <w:p>
      <w:pPr>
        <w:pStyle w:val="Heading2"/>
        <w:spacing w:after="160" w:before="320"/>
      </w:pPr>
      <w:r>
        <w:rPr>
          <w:rFonts w:ascii="Calibri" w:cs="Calibri" w:eastAsia="Calibri" w:hAnsi="Calibri"/>
          <w:b/>
          <w:bCs/>
          <w:color w:val="0C4E54"/>
          <w:sz w:val="30"/>
          <w:szCs w:val="30"/>
        </w:rPr>
        <w:t xml:space="preserve">6.2 Les avantages aux entrepreneurs</w:t>
      </w:r>
    </w:p>
    <w:p>
      <w:pPr>
        <w:pStyle w:val="Heading3"/>
        <w:spacing w:after="120" w:before="240"/>
      </w:pPr>
      <w:r>
        <w:rPr>
          <w:rFonts w:ascii="Calibri" w:cs="Calibri" w:eastAsia="Calibri" w:hAnsi="Calibri"/>
          <w:b/>
          <w:bCs/>
          <w:color w:val="28251D"/>
          <w:sz w:val="24"/>
          <w:szCs w:val="24"/>
        </w:rPr>
        <w:t xml:space="preserve">A. La Bourse de Startup (VRR — Versement de Revenus de Remplacement)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Paramètre</w:t>
            </w:r>
          </w:p>
        </w:tc>
        <w:tc>
          <w:tcPr>
            <w:tcW w:type="dxa" w:w="5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Détail</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Bénéficiaires</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3 co-fondateurs actionnaires à temps plein</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Durée</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an (renouvelable sous conditions)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Montant ex-salarié</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Revenu net moyen des 12 derniers mois, entre 1 000 DT et 5 000 DT par mois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Montant non-salarié / primo-accédant</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1 000 DT par mois</w:t>
            </w:r>
          </w:p>
        </w:tc>
      </w:tr>
      <w:tr>
        <w:tc>
          <w:tcPr>
            <w:tcW w:type="dxa" w:w="3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Versement</w:t>
            </w:r>
          </w:p>
        </w:tc>
        <w:tc>
          <w:tcPr>
            <w:tcW w:type="dxa" w:w="5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Mensuel via ANETI et CNSS</w:t>
            </w:r>
          </w:p>
        </w:tc>
      </w:tr>
      <w:tr>
        <w:tc>
          <w:tcPr>
            <w:tcW w:type="dxa" w:w="3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Conditions</w:t>
            </w:r>
          </w:p>
        </w:tc>
        <w:tc>
          <w:tcPr>
            <w:tcW w:type="dxa" w:w="5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Nationalité tunisienne, installation en Tunisie, temps plein dans la startup</w:t>
            </w:r>
          </w:p>
        </w:tc>
      </w:tr>
    </w:tbl>
    <w:p>
      <w:pPr>
        <w:spacing w:after="140"/>
      </w:pPr>
      <w:r>
        <w:rPr>
          <w:rFonts w:ascii="Calibri" w:cs="Calibri" w:eastAsia="Calibri" w:hAnsi="Calibri"/>
        </w:rPr>
        <w:t xml:space="preserve"/>
      </w:r>
    </w:p>
    <w:p>
      <w:pPr>
        <w:spacing w:after="140" w:line="320"/>
        <w:jc w:val="both"/>
      </w:pPr>
      <w:r>
        <w:rPr>
          <w:rFonts w:ascii="Calibri" w:cs="Calibri" w:eastAsia="Calibri" w:hAnsi="Calibri"/>
          <w:color w:val="28251D"/>
          <w:sz w:val="22"/>
          <w:szCs w:val="22"/>
        </w:rPr>
        <w:t xml:space="preserve">Conditions spécifiques : le bénéficiaire ne doit pas avoir reçu de bourse startup lors des 3 années précédant la demande. La date de début de bourse ne peut dépasser 6 mois après l’obtention du Label.</w:t>
      </w:r>
    </w:p>
    <w:p>
      <w:pPr>
        <w:pStyle w:val="Heading3"/>
        <w:spacing w:after="120" w:before="240"/>
      </w:pPr>
      <w:r>
        <w:rPr>
          <w:rFonts w:ascii="Calibri" w:cs="Calibri" w:eastAsia="Calibri" w:hAnsi="Calibri"/>
          <w:b/>
          <w:bCs/>
          <w:color w:val="28251D"/>
          <w:sz w:val="24"/>
          <w:szCs w:val="24"/>
        </w:rPr>
        <w:t xml:space="preserve">B. Le Congé pour Création de Startup</w:t>
      </w:r>
    </w:p>
    <w:p>
      <w:pPr>
        <w:spacing w:after="140" w:line="320"/>
        <w:jc w:val="both"/>
      </w:pPr>
      <w:r>
        <w:rPr>
          <w:rFonts w:ascii="Calibri" w:cs="Calibri" w:eastAsia="Calibri" w:hAnsi="Calibri"/>
          <w:color w:val="28251D"/>
          <w:sz w:val="22"/>
          <w:szCs w:val="22"/>
        </w:rPr>
        <w:t xml:space="preserve">Tout salarié du secteur public ou privé peut prendre un congé non rémunéré d’un an, renouvelable une fois (total de 2 ans). La relation contractuelle avec l’employeur est maintenue pendant cette période et le droit de retour au poste est garanti.</w:t>
      </w:r>
    </w:p>
    <w:p>
      <w:pPr>
        <w:pStyle w:val="Heading3"/>
        <w:spacing w:after="120" w:before="240"/>
      </w:pPr>
      <w:r>
        <w:rPr>
          <w:rFonts w:ascii="Calibri" w:cs="Calibri" w:eastAsia="Calibri" w:hAnsi="Calibri"/>
          <w:b/>
          <w:bCs/>
          <w:color w:val="28251D"/>
          <w:sz w:val="24"/>
          <w:szCs w:val="24"/>
        </w:rPr>
        <w:t xml:space="preserve">C. Les autres avantages aux entrepreneurs</w:t>
      </w:r>
    </w:p>
    <w:p>
      <w:pPr>
        <w:pStyle w:val="ListParagraph"/>
        <w:numPr>
          <w:ilvl w:val="0"/>
          <w:numId w:val="2"/>
        </w:numPr>
        <w:spacing w:after="80" w:line="300"/>
      </w:pPr>
      <w:r>
        <w:rPr>
          <w:rFonts w:ascii="Calibri" w:cs="Calibri" w:eastAsia="Calibri" w:hAnsi="Calibri"/>
          <w:color w:val="28251D"/>
          <w:sz w:val="22"/>
          <w:szCs w:val="22"/>
        </w:rPr>
        <w:t xml:space="preserve">Prise en charge des frais de dépôt de brevets (nationaux et internationaux) par l’État.</w:t>
      </w:r>
    </w:p>
    <w:p>
      <w:pPr>
        <w:pStyle w:val="ListParagraph"/>
        <w:numPr>
          <w:ilvl w:val="0"/>
          <w:numId w:val="2"/>
        </w:numPr>
        <w:spacing w:after="80" w:line="300"/>
      </w:pPr>
      <w:r>
        <w:rPr>
          <w:rFonts w:ascii="Calibri" w:cs="Calibri" w:eastAsia="Calibri" w:hAnsi="Calibri"/>
          <w:color w:val="28251D"/>
          <w:sz w:val="22"/>
          <w:szCs w:val="22"/>
        </w:rPr>
        <w:t xml:space="preserve">Maintien des programmes ANETI (CIVP, Karama, CSC) pendant 3 ans à compter de la labellisation pour les jeunes diplômés fondateurs.</w:t>
      </w:r>
    </w:p>
    <w:p>
      <w:pPr>
        <w:pStyle w:val="ListParagraph"/>
        <w:numPr>
          <w:ilvl w:val="0"/>
          <w:numId w:val="2"/>
        </w:numPr>
        <w:spacing w:after="80" w:line="300"/>
      </w:pPr>
      <w:r>
        <w:rPr>
          <w:rFonts w:ascii="Calibri" w:cs="Calibri" w:eastAsia="Calibri" w:hAnsi="Calibri"/>
          <w:color w:val="28251D"/>
          <w:sz w:val="22"/>
          <w:szCs w:val="22"/>
        </w:rPr>
        <w:t xml:space="preserve">Le Bon Échec (Right to Fail) : dispositif protégeant le promoteur en cas d’échec d’une première startup, permettant la réhabilitation pour accéder à nouveau au financement.</w:t>
      </w:r>
    </w:p>
    <w:p>
      <w:pPr>
        <w:pStyle w:val="Heading2"/>
        <w:spacing w:after="160" w:before="320"/>
      </w:pPr>
      <w:r>
        <w:rPr>
          <w:rFonts w:ascii="Calibri" w:cs="Calibri" w:eastAsia="Calibri" w:hAnsi="Calibri"/>
          <w:b/>
          <w:bCs/>
          <w:color w:val="0C4E54"/>
          <w:sz w:val="30"/>
          <w:szCs w:val="30"/>
        </w:rPr>
        <w:t xml:space="preserve">6.3 Les avantages fiscaux (8 ans d’exonération)</w:t>
      </w:r>
    </w:p>
    <w:p>
      <w:pPr>
        <w:pStyle w:val="ListParagraph"/>
        <w:numPr>
          <w:ilvl w:val="0"/>
          <w:numId w:val="2"/>
        </w:numPr>
        <w:spacing w:after="80" w:line="300"/>
      </w:pPr>
      <w:r>
        <w:rPr>
          <w:rFonts w:ascii="Calibri" w:cs="Calibri" w:eastAsia="Calibri" w:hAnsi="Calibri"/>
          <w:color w:val="28251D"/>
          <w:sz w:val="22"/>
          <w:szCs w:val="22"/>
        </w:rPr>
        <w:t xml:space="preserve">Exonération totale de l’impôt sur les sociétés (IS) et de l’IRPP pendant 8 ans à compter de la création de la startup.</w:t>
      </w:r>
    </w:p>
    <w:p>
      <w:pPr>
        <w:pStyle w:val="ListParagraph"/>
        <w:numPr>
          <w:ilvl w:val="0"/>
          <w:numId w:val="2"/>
        </w:numPr>
        <w:spacing w:after="80" w:line="300"/>
      </w:pPr>
      <w:r>
        <w:rPr>
          <w:rFonts w:ascii="Calibri" w:cs="Calibri" w:eastAsia="Calibri" w:hAnsi="Calibri"/>
          <w:color w:val="28251D"/>
          <w:sz w:val="22"/>
          <w:szCs w:val="22"/>
        </w:rPr>
        <w:t xml:space="preserve">Exonération de TVA sur les équipements acquis pour le projet d’investissement.</w:t>
      </w:r>
    </w:p>
    <w:p>
      <w:pPr>
        <w:pStyle w:val="ListParagraph"/>
        <w:numPr>
          <w:ilvl w:val="0"/>
          <w:numId w:val="2"/>
        </w:numPr>
        <w:spacing w:after="80" w:line="300"/>
      </w:pPr>
      <w:r>
        <w:rPr>
          <w:rFonts w:ascii="Calibri" w:cs="Calibri" w:eastAsia="Calibri" w:hAnsi="Calibri"/>
          <w:color w:val="28251D"/>
          <w:sz w:val="22"/>
          <w:szCs w:val="22"/>
        </w:rPr>
        <w:t xml:space="preserve">Taux préférentiel de 5 % de droits de douane sur les équipements importés.</w:t>
      </w:r>
    </w:p>
    <w:p>
      <w:pPr>
        <w:pStyle w:val="ListParagraph"/>
        <w:numPr>
          <w:ilvl w:val="0"/>
          <w:numId w:val="2"/>
        </w:numPr>
        <w:spacing w:after="80" w:line="300"/>
      </w:pPr>
      <w:r>
        <w:rPr>
          <w:rFonts w:ascii="Calibri" w:cs="Calibri" w:eastAsia="Calibri" w:hAnsi="Calibri"/>
          <w:color w:val="28251D"/>
          <w:sz w:val="22"/>
          <w:szCs w:val="22"/>
        </w:rPr>
        <w:t xml:space="preserve">Exonération de plus-value sur cession des actifs de la startup pour les investisseurs.</w:t>
      </w:r>
    </w:p>
    <w:p>
      <w:pPr>
        <w:pStyle w:val="ListParagraph"/>
        <w:numPr>
          <w:ilvl w:val="0"/>
          <w:numId w:val="2"/>
        </w:numPr>
        <w:spacing w:after="80" w:line="300"/>
      </w:pPr>
      <w:r>
        <w:rPr>
          <w:rFonts w:ascii="Calibri" w:cs="Calibri" w:eastAsia="Calibri" w:hAnsi="Calibri"/>
          <w:color w:val="28251D"/>
          <w:sz w:val="22"/>
          <w:szCs w:val="22"/>
        </w:rPr>
        <w:t xml:space="preserve">Déduction fiscale possible pour les montants réinvestis dans le capital des startups.</w:t>
      </w:r>
    </w:p>
    <w:p>
      <w:pPr>
        <w:pStyle w:val="Heading2"/>
        <w:spacing w:after="160" w:before="320"/>
      </w:pPr>
      <w:r>
        <w:rPr>
          <w:rFonts w:ascii="Calibri" w:cs="Calibri" w:eastAsia="Calibri" w:hAnsi="Calibri"/>
          <w:b/>
          <w:bCs/>
          <w:color w:val="0C4E54"/>
          <w:sz w:val="30"/>
          <w:szCs w:val="30"/>
        </w:rPr>
        <w:t xml:space="preserve">6.4 Les avantages de change</w:t>
      </w:r>
    </w:p>
    <w:p>
      <w:pPr>
        <w:spacing w:after="140" w:line="320"/>
        <w:jc w:val="both"/>
      </w:pPr>
      <w:r>
        <w:rPr>
          <w:rFonts w:ascii="Calibri" w:cs="Calibri" w:eastAsia="Calibri" w:hAnsi="Calibri"/>
          <w:color w:val="28251D"/>
          <w:sz w:val="22"/>
          <w:szCs w:val="22"/>
        </w:rPr>
        <w:t xml:space="preserve">Les avantages de change sont peut-être les plus stratégiques pour une startup à vocation internationale. Ils permettent de contourner les restrictions de change qui s’appliquent normalement aux entreprises tunisiennes :</w:t>
      </w:r>
    </w:p>
    <w:p>
      <w:pPr>
        <w:pStyle w:val="ListParagraph"/>
        <w:numPr>
          <w:ilvl w:val="0"/>
          <w:numId w:val="2"/>
        </w:numPr>
        <w:spacing w:after="80" w:line="300"/>
      </w:pPr>
      <w:r>
        <w:rPr>
          <w:rFonts w:ascii="Calibri" w:cs="Calibri" w:eastAsia="Calibri" w:hAnsi="Calibri"/>
          <w:color w:val="28251D"/>
          <w:sz w:val="22"/>
          <w:szCs w:val="22"/>
        </w:rPr>
        <w:t xml:space="preserve">Ouverture d’un compte en devises spécial en Tunisie.</w:t>
      </w:r>
    </w:p>
    <w:p>
      <w:pPr>
        <w:pStyle w:val="ListParagraph"/>
        <w:numPr>
          <w:ilvl w:val="0"/>
          <w:numId w:val="2"/>
        </w:numPr>
        <w:spacing w:after="80" w:line="300"/>
      </w:pPr>
      <w:r>
        <w:rPr>
          <w:rFonts w:ascii="Calibri" w:cs="Calibri" w:eastAsia="Calibri" w:hAnsi="Calibri"/>
          <w:color w:val="28251D"/>
          <w:sz w:val="22"/>
          <w:szCs w:val="22"/>
        </w:rPr>
        <w:t xml:space="preserve">Augmentation du plafond de la carte de paiement internationale.</w:t>
      </w:r>
    </w:p>
    <w:p>
      <w:pPr>
        <w:pStyle w:val="ListParagraph"/>
        <w:numPr>
          <w:ilvl w:val="0"/>
          <w:numId w:val="2"/>
        </w:numPr>
        <w:spacing w:after="80" w:line="300"/>
      </w:pPr>
      <w:r>
        <w:rPr>
          <w:rFonts w:ascii="Calibri" w:cs="Calibri" w:eastAsia="Calibri" w:hAnsi="Calibri"/>
          <w:color w:val="28251D"/>
          <w:sz w:val="22"/>
          <w:szCs w:val="22"/>
        </w:rPr>
        <w:t xml:space="preserve">Possibilité de rapatrier des fonds levés à l’étranger.</w:t>
      </w:r>
    </w:p>
    <w:p>
      <w:pPr>
        <w:pStyle w:val="ListParagraph"/>
        <w:numPr>
          <w:ilvl w:val="0"/>
          <w:numId w:val="2"/>
        </w:numPr>
        <w:spacing w:after="80" w:line="300"/>
      </w:pPr>
      <w:r>
        <w:rPr>
          <w:rFonts w:ascii="Calibri" w:cs="Calibri" w:eastAsia="Calibri" w:hAnsi="Calibri"/>
          <w:color w:val="28251D"/>
          <w:sz w:val="22"/>
          <w:szCs w:val="22"/>
        </w:rPr>
        <w:t xml:space="preserve">Facilitation des procédures douanières (statut d’opérateur économique agréé).</w:t>
      </w:r>
    </w:p>
    <w:p>
      <w:pPr>
        <w:pStyle w:val="Heading2"/>
        <w:spacing w:after="160" w:before="320"/>
      </w:pPr>
      <w:r>
        <w:rPr>
          <w:rFonts w:ascii="Calibri" w:cs="Calibri" w:eastAsia="Calibri" w:hAnsi="Calibri"/>
          <w:b/>
          <w:bCs/>
          <w:color w:val="0C4E54"/>
          <w:sz w:val="30"/>
          <w:szCs w:val="30"/>
        </w:rPr>
        <w:t xml:space="preserve">6.5 Procédure d’obtention du Label</w:t>
      </w:r>
    </w:p>
    <w:p>
      <w:pPr>
        <w:pStyle w:val="ListParagraph"/>
        <w:numPr>
          <w:ilvl w:val="0"/>
          <w:numId w:val="7"/>
        </w:numPr>
        <w:spacing w:after="100" w:line="300"/>
      </w:pPr>
      <w:r>
        <w:rPr>
          <w:rFonts w:ascii="Calibri" w:cs="Calibri" w:eastAsia="Calibri" w:hAnsi="Calibri"/>
          <w:color w:val="28251D"/>
          <w:sz w:val="22"/>
          <w:szCs w:val="22"/>
        </w:rPr>
        <w:t xml:space="preserve">Création du compte sur startup.gov.tn.</w:t>
      </w:r>
    </w:p>
    <w:p>
      <w:pPr>
        <w:pStyle w:val="ListParagraph"/>
        <w:numPr>
          <w:ilvl w:val="0"/>
          <w:numId w:val="7"/>
        </w:numPr>
        <w:spacing w:after="100" w:line="300"/>
      </w:pPr>
      <w:r>
        <w:rPr>
          <w:rFonts w:ascii="Calibri" w:cs="Calibri" w:eastAsia="Calibri" w:hAnsi="Calibri"/>
          <w:color w:val="28251D"/>
          <w:sz w:val="22"/>
          <w:szCs w:val="22"/>
        </w:rPr>
        <w:t xml:space="preserve">Soumission du dossier en ligne (formulaire + pièces justificatives).</w:t>
      </w:r>
    </w:p>
    <w:p>
      <w:pPr>
        <w:pStyle w:val="ListParagraph"/>
        <w:numPr>
          <w:ilvl w:val="0"/>
          <w:numId w:val="7"/>
        </w:numPr>
        <w:spacing w:after="100" w:line="300"/>
      </w:pPr>
      <w:r>
        <w:rPr>
          <w:rFonts w:ascii="Calibri" w:cs="Calibri" w:eastAsia="Calibri" w:hAnsi="Calibri"/>
          <w:color w:val="28251D"/>
          <w:sz w:val="22"/>
          <w:szCs w:val="22"/>
        </w:rPr>
        <w:t xml:space="preserve">Examen par le Comité de Labellisation (présidé par le Ministère de l’Économie).</w:t>
      </w:r>
    </w:p>
    <w:p>
      <w:pPr>
        <w:pStyle w:val="ListParagraph"/>
        <w:numPr>
          <w:ilvl w:val="0"/>
          <w:numId w:val="7"/>
        </w:numPr>
        <w:spacing w:after="100" w:line="300"/>
      </w:pPr>
      <w:r>
        <w:rPr>
          <w:rFonts w:ascii="Calibri" w:cs="Calibri" w:eastAsia="Calibri" w:hAnsi="Calibri"/>
          <w:color w:val="28251D"/>
          <w:sz w:val="22"/>
          <w:szCs w:val="22"/>
        </w:rPr>
        <w:t xml:space="preserve">Décision dans un délai réglementé.</w:t>
      </w:r>
    </w:p>
    <w:p>
      <w:pPr>
        <w:pStyle w:val="ListParagraph"/>
        <w:numPr>
          <w:ilvl w:val="0"/>
          <w:numId w:val="7"/>
        </w:numPr>
        <w:spacing w:after="100" w:line="300"/>
      </w:pPr>
      <w:r>
        <w:rPr>
          <w:rFonts w:ascii="Calibri" w:cs="Calibri" w:eastAsia="Calibri" w:hAnsi="Calibri"/>
          <w:color w:val="28251D"/>
          <w:sz w:val="22"/>
          <w:szCs w:val="22"/>
        </w:rPr>
        <w:t xml:space="preserve">Obtention du Label (certificat numérique).</w:t>
      </w:r>
    </w:p>
    <w:p>
      <w:pPr>
        <w:pStyle w:val="ListParagraph"/>
        <w:numPr>
          <w:ilvl w:val="0"/>
          <w:numId w:val="7"/>
        </w:numPr>
        <w:spacing w:after="100" w:line="300"/>
      </w:pPr>
      <w:r>
        <w:rPr>
          <w:rFonts w:ascii="Calibri" w:cs="Calibri" w:eastAsia="Calibri" w:hAnsi="Calibri"/>
          <w:color w:val="28251D"/>
          <w:sz w:val="22"/>
          <w:szCs w:val="22"/>
        </w:rPr>
        <w:t xml:space="preserve">Demande des avantages spécifiques (bourse VRR, compte devises, etc.) via le portail.</w:t>
      </w:r>
    </w:p>
    <w:p>
      <w:pPr>
        <w:pStyle w:val="Heading1"/>
        <w:pageBreakBefore/>
        <w:spacing w:after="240" w:before="480"/>
      </w:pPr>
      <w:r>
        <w:rPr>
          <w:rFonts w:ascii="Calibri" w:cs="Calibri" w:eastAsia="Calibri" w:hAnsi="Calibri"/>
          <w:b/>
          <w:bCs/>
          <w:color w:val="01696F"/>
          <w:sz w:val="40"/>
          <w:szCs w:val="40"/>
        </w:rPr>
        <w:t xml:space="preserve">Chapitre 7 — Le capital-investissement et le venture capital</w:t>
      </w:r>
    </w:p>
    <w:p>
      <w:pPr>
        <w:spacing w:after="140" w:line="320"/>
        <w:jc w:val="both"/>
      </w:pPr>
      <w:r>
        <w:rPr>
          <w:rFonts w:ascii="Calibri" w:cs="Calibri" w:eastAsia="Calibri" w:hAnsi="Calibri"/>
          <w:color w:val="28251D"/>
          <w:sz w:val="22"/>
          <w:szCs w:val="22"/>
        </w:rPr>
        <w:t xml:space="preserve">Le marché tunisien du capital-investissement est encore relativement jeune mais en forte croissance. Aux côtés des SICAR historiques, une nouvelle génération de fonds de venture capital est apparue dans les années 2010-2020, dynamisée notamment par le programme ANAVA. Pour les startups innovantes et les PME en forte croissance, ces véhicules constituent une alternative à la dette bancaire.</w:t>
      </w:r>
    </w:p>
    <w:p>
      <w:pPr>
        <w:pStyle w:val="Heading2"/>
        <w:spacing w:after="160" w:before="320"/>
      </w:pPr>
      <w:r>
        <w:rPr>
          <w:rFonts w:ascii="Calibri" w:cs="Calibri" w:eastAsia="Calibri" w:hAnsi="Calibri"/>
          <w:b/>
          <w:bCs/>
          <w:color w:val="0C4E54"/>
          <w:sz w:val="30"/>
          <w:szCs w:val="30"/>
        </w:rPr>
        <w:t xml:space="preserve">7.1 Montants typiques par stade d’investissement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480"/>
        <w:gridCol w:w="2480"/>
      </w:tblGrid>
      <w:tr>
        <w:trPr>
          <w:tblHeader/>
        </w:trPr>
        <w:tc>
          <w:tcPr>
            <w:tcW w:type="dxa" w:w="2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Stade</w:t>
            </w:r>
          </w:p>
        </w:tc>
        <w:tc>
          <w:tcPr>
            <w:tcW w:type="dxa" w:w="2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Montant typique</w:t>
            </w:r>
          </w:p>
        </w:tc>
        <w:tc>
          <w:tcPr>
            <w:tcW w:type="dxa" w:w="24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Instruments</w:t>
            </w:r>
          </w:p>
        </w:tc>
        <w:tc>
          <w:tcPr>
            <w:tcW w:type="dxa" w:w="248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Acteurs tunisiens principaux</w:t>
            </w:r>
          </w:p>
        </w:tc>
      </w:tr>
      <w:tr>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Amorçage / Pre-seed</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20 000 € à 100 000 €</w:t>
            </w:r>
          </w:p>
        </w:tc>
        <w:tc>
          <w:tcPr>
            <w:tcW w:type="dxa" w:w="24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Prêt participatif, dotation, subvention</w:t>
            </w:r>
          </w:p>
        </w:tc>
        <w:tc>
          <w:tcPr>
            <w:tcW w:type="dxa" w:w="24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Flat6Labs, BFPME Intilak, FONAPRAM</w:t>
            </w:r>
          </w:p>
        </w:tc>
      </w:tr>
      <w:tr>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Seed</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100 000 € à 500 000 €</w:t>
            </w:r>
          </w:p>
        </w:tc>
        <w:tc>
          <w:tcPr>
            <w:tcW w:type="dxa" w:w="24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Prise de participation SICAR</w:t>
            </w:r>
          </w:p>
        </w:tc>
        <w:tc>
          <w:tcPr>
            <w:tcW w:type="dxa" w:w="24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 Capital, Innovest, SAGES Capital</w:t>
            </w:r>
          </w:p>
        </w:tc>
      </w:tr>
      <w:tr>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Série A</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500 000 € à 3 M€</w:t>
            </w:r>
          </w:p>
        </w:tc>
        <w:tc>
          <w:tcPr>
            <w:tcW w:type="dxa" w:w="24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Capital + quasi-capital</w:t>
            </w:r>
          </w:p>
        </w:tc>
        <w:tc>
          <w:tcPr>
            <w:tcW w:type="dxa" w:w="248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 ACP, UGFS, Rasmal Fund</w:t>
            </w:r>
          </w:p>
        </w:tc>
      </w:tr>
      <w:tr>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Série B et au-delà</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&gt; 3 millions €</w:t>
            </w:r>
          </w:p>
        </w:tc>
        <w:tc>
          <w:tcPr>
            <w:tcW w:type="dxa" w:w="24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Capital</w:t>
            </w:r>
          </w:p>
        </w:tc>
        <w:tc>
          <w:tcPr>
            <w:tcW w:type="dxa" w:w="248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 (fonds régionaux)</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7.2 Panorama des principaux fonds actifs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1800"/>
        <w:gridCol w:w="2660"/>
        <w:gridCol w:w="2200"/>
      </w:tblGrid>
      <w:tr>
        <w:trPr>
          <w:tblHeader/>
        </w:trPr>
        <w:tc>
          <w:tcPr>
            <w:tcW w:type="dxa" w:w="27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Fonds / Gestionnaire</w:t>
            </w:r>
          </w:p>
        </w:tc>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w:t>
            </w:r>
          </w:p>
        </w:tc>
        <w:tc>
          <w:tcPr>
            <w:tcW w:type="dxa" w:w="26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Focus</w:t>
            </w:r>
          </w:p>
        </w:tc>
        <w:tc>
          <w:tcPr>
            <w:tcW w:type="dxa" w:w="2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ANAVA Fund of Funds (Smart Capital)</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de fonds</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VC tunisiens</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smartcapital.tn</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 Capital Ventures</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 amorçage</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Tech, IA, Fintech, SaaS, Santé</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216capital.vc</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Flat6Labs Tunisia</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 amorçage</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Tech, innovation</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flat6labs.com</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 / Growth</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en croissance, mid-cap</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africinvest.com</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Alternative Capital Partners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 / PE</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innovantes</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alter-cap.com</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UGFS North Africa</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 / VC</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Large éventail</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ugfsnorthafrica.com.tn</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CDC Gestion</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public</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et startups</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cdcgestion.tn</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Rasmal Ventures (Rasmal Innovation Fund I)</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 pré-Série A à B</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FinTech, SaaS B2B, HealthTech</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LoftyInc Capital</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 panafricain</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tech amorçage</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Innovest</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innovantes</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innovest.tn</w:t>
            </w:r>
          </w:p>
        </w:tc>
      </w:tr>
      <w:tr>
        <w:tc>
          <w:tcPr>
            <w:tcW w:type="dxa" w:w="27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IKDAM Gestion (IKDAM II)</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amorçage</w:t>
            </w:r>
          </w:p>
        </w:tc>
        <w:tc>
          <w:tcPr>
            <w:tcW w:type="dxa" w:w="2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innovation</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r>
      <w:tr>
        <w:tc>
          <w:tcPr>
            <w:tcW w:type="dxa" w:w="27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SAGES Capital</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Essaimage</w:t>
            </w:r>
          </w:p>
        </w:tc>
        <w:tc>
          <w:tcPr>
            <w:tcW w:type="dxa" w:w="2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Spin-offs d’entreprises</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sagescapital.com</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7.3 Focus sur 216 Capital Ventures</w:t>
      </w:r>
    </w:p>
    <w:p>
      <w:pPr>
        <w:spacing w:after="140" w:line="320"/>
        <w:jc w:val="both"/>
      </w:pPr>
      <w:r>
        <w:rPr>
          <w:rFonts w:ascii="Calibri" w:cs="Calibri" w:eastAsia="Calibri" w:hAnsi="Calibri"/>
          <w:color w:val="28251D"/>
          <w:sz w:val="22"/>
          <w:szCs w:val="22"/>
        </w:rPr>
        <w:t xml:space="preserve">Fonds de venture capital fondé en 2021 à Tunis par des entrepreneurs et investisseurs, 216 Capital se concentre sur les startups technologiques en Afrique, avec un fort intérêt pour la diaspora tunisienne. Sa stratégie cible les stades pre-seed, seed et seed+ avec des tickets de 100 000 $ à 250 000 $ (moyenne de 250 000 €). Portefeuille : 15 investissements réalisés au 2025, cible de 50 startups.</w:t>
      </w:r>
    </w:p>
    <w:p>
      <w:pPr>
        <w:spacing w:after="140" w:line="320"/>
        <w:jc w:val="both"/>
      </w:pPr>
      <w:r>
        <w:rPr>
          <w:rFonts w:ascii="Calibri" w:cs="Calibri" w:eastAsia="Calibri" w:hAnsi="Calibri"/>
          <w:color w:val="28251D"/>
          <w:sz w:val="22"/>
          <w:szCs w:val="22"/>
        </w:rPr>
        <w:t xml:space="preserve">Le programme 216 Capital Venture Accelerator, mené en partenariat avec Plug and Play, est un programme de 6 mois destiné à 20 startups tunisiennes, avec un financement initial de 50 000 € par startup.</w:t>
      </w:r>
    </w:p>
    <w:p>
      <w:pPr>
        <w:pStyle w:val="Heading2"/>
        <w:spacing w:after="160" w:before="320"/>
      </w:pPr>
      <w:r>
        <w:rPr>
          <w:rFonts w:ascii="Calibri" w:cs="Calibri" w:eastAsia="Calibri" w:hAnsi="Calibri"/>
          <w:b/>
          <w:bCs/>
          <w:color w:val="0C4E54"/>
          <w:sz w:val="30"/>
          <w:szCs w:val="30"/>
        </w:rPr>
        <w:t xml:space="preserve">7.4 Focus sur AfricInvest</w:t>
      </w:r>
    </w:p>
    <w:p>
      <w:pPr>
        <w:spacing w:after="140" w:line="320"/>
        <w:jc w:val="both"/>
      </w:pPr>
      <w:r>
        <w:rPr>
          <w:rFonts w:ascii="Calibri" w:cs="Calibri" w:eastAsia="Calibri" w:hAnsi="Calibri"/>
          <w:color w:val="28251D"/>
          <w:sz w:val="22"/>
          <w:szCs w:val="22"/>
        </w:rPr>
        <w:t xml:space="preserve">AfricInvest est l’un des plus grands acteurs du private equity en Afrique. Fondé à Tunis, il gère plusieurs fonds multi-géographiques. Bureau Tunisie : Imm. Integra, Centre Urbain Nord 1082 Tunis (Tél : +216 71 189 800). Stratégie : PME en croissance et mid-cap en Afrique, tickets de plusieurs millions d’euros, focus sur les secteurs formels à fort potentiel.</w:t>
      </w:r>
    </w:p>
    <w:p>
      <w:pPr>
        <w:pStyle w:val="Heading1"/>
        <w:pageBreakBefore/>
        <w:spacing w:after="240" w:before="480"/>
      </w:pPr>
      <w:r>
        <w:rPr>
          <w:rFonts w:ascii="Calibri" w:cs="Calibri" w:eastAsia="Calibri" w:hAnsi="Calibri"/>
          <w:b/>
          <w:bCs/>
          <w:color w:val="01696F"/>
          <w:sz w:val="40"/>
          <w:szCs w:val="40"/>
        </w:rPr>
        <w:t xml:space="preserve">Chapitre 8 — Business angels, incubateurs et accélérateurs</w:t>
      </w:r>
    </w:p>
    <w:p>
      <w:pPr>
        <w:pStyle w:val="Heading2"/>
        <w:spacing w:after="160" w:before="320"/>
      </w:pPr>
      <w:r>
        <w:rPr>
          <w:rFonts w:ascii="Calibri" w:cs="Calibri" w:eastAsia="Calibri" w:hAnsi="Calibri"/>
          <w:b/>
          <w:bCs/>
          <w:color w:val="0C4E54"/>
          <w:sz w:val="30"/>
          <w:szCs w:val="30"/>
        </w:rPr>
        <w:t xml:space="preserve">8.1 Carthage Business Angels — Le premier réseau tunisien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Carthage Business Angels (CBA)</w:t>
            </w:r>
          </w:p>
          <w:p>
            <w:r>
              <w:rPr>
                <w:rFonts w:ascii="Calibri" w:cs="Calibri" w:eastAsia="Calibri" w:hAnsi="Calibri"/>
                <w:sz w:val="20"/>
                <w:szCs w:val="20"/>
              </w:rPr>
              <w:t xml:space="preserve">ONG fondée en 2010. Siège : Boulevard Cheikh Zaid, Berges du Lac, 1053 Tunis. Site : www.cba.tn. Email : projectmanager@cba.tn.</w:t>
            </w:r>
          </w:p>
        </w:tc>
      </w:tr>
    </w:tbl>
    <w:p>
      <w:pPr>
        <w:spacing w:after="140" w:line="320"/>
        <w:jc w:val="both"/>
      </w:pPr>
      <w:r>
        <w:rPr>
          <w:rFonts w:ascii="Calibri" w:cs="Calibri" w:eastAsia="Calibri" w:hAnsi="Calibri"/>
          <w:color w:val="28251D"/>
          <w:sz w:val="22"/>
          <w:szCs w:val="22"/>
        </w:rPr>
        <w:t xml:space="preserve">La CBA regroupe une centaine de membres investisseurs, fait partie d’un réseau international de business angels et se positionne comme une agence « 3E » : Entrepreneurial, Ecosystem, Enabler. Les business angels CBA investissent typiquement entre 10 000 € et 200 000 € au stade amorçage / seed, en échange d’une participation au capital. Au-delà du financement, ils apportent un réseau, du mentorat et une expertise sectorielle.</w:t>
      </w:r>
    </w:p>
    <w:p>
      <w:pPr>
        <w:pStyle w:val="Heading3"/>
        <w:spacing w:after="120" w:before="240"/>
      </w:pPr>
      <w:r>
        <w:rPr>
          <w:rFonts w:ascii="Calibri" w:cs="Calibri" w:eastAsia="Calibri" w:hAnsi="Calibri"/>
          <w:b/>
          <w:bCs/>
          <w:color w:val="28251D"/>
          <w:sz w:val="24"/>
          <w:szCs w:val="24"/>
        </w:rPr>
        <w:t xml:space="preserve">Programmes gérés par la CBA</w:t>
      </w:r>
    </w:p>
    <w:p>
      <w:pPr>
        <w:pStyle w:val="ListParagraph"/>
        <w:numPr>
          <w:ilvl w:val="0"/>
          <w:numId w:val="2"/>
        </w:numPr>
        <w:spacing w:after="80" w:line="300"/>
      </w:pPr>
      <w:r>
        <w:rPr>
          <w:rFonts w:ascii="Calibri" w:cs="Calibri" w:eastAsia="Calibri" w:hAnsi="Calibri"/>
          <w:color w:val="28251D"/>
          <w:sz w:val="22"/>
          <w:szCs w:val="22"/>
        </w:rPr>
        <w:t xml:space="preserve">Univenture : soutien aux startups en phase d’idéation.</w:t>
      </w:r>
    </w:p>
    <w:p>
      <w:pPr>
        <w:pStyle w:val="ListParagraph"/>
        <w:numPr>
          <w:ilvl w:val="0"/>
          <w:numId w:val="2"/>
        </w:numPr>
        <w:spacing w:after="80" w:line="300"/>
      </w:pPr>
      <w:r>
        <w:rPr>
          <w:rFonts w:ascii="Calibri" w:cs="Calibri" w:eastAsia="Calibri" w:hAnsi="Calibri"/>
          <w:color w:val="28251D"/>
          <w:sz w:val="22"/>
          <w:szCs w:val="22"/>
        </w:rPr>
        <w:t xml:space="preserve">Start’Act : accélération de startups.</w:t>
      </w:r>
    </w:p>
    <w:p>
      <w:pPr>
        <w:pStyle w:val="ListParagraph"/>
        <w:numPr>
          <w:ilvl w:val="0"/>
          <w:numId w:val="2"/>
        </w:numPr>
        <w:spacing w:after="80" w:line="300"/>
      </w:pPr>
      <w:r>
        <w:rPr>
          <w:rFonts w:ascii="Calibri" w:cs="Calibri" w:eastAsia="Calibri" w:hAnsi="Calibri"/>
          <w:color w:val="28251D"/>
          <w:sz w:val="22"/>
          <w:szCs w:val="22"/>
        </w:rPr>
        <w:t xml:space="preserve">Movility : programme de mobilité entrepreneuriale.</w:t>
      </w:r>
    </w:p>
    <w:p>
      <w:pPr>
        <w:pStyle w:val="ListParagraph"/>
        <w:numPr>
          <w:ilvl w:val="0"/>
          <w:numId w:val="2"/>
        </w:numPr>
        <w:spacing w:after="80" w:line="300"/>
      </w:pPr>
      <w:r>
        <w:rPr>
          <w:rFonts w:ascii="Calibri" w:cs="Calibri" w:eastAsia="Calibri" w:hAnsi="Calibri"/>
          <w:color w:val="28251D"/>
          <w:sz w:val="22"/>
          <w:szCs w:val="22"/>
        </w:rPr>
        <w:t xml:space="preserve">Tasdit+ : accompagnement et mentorat renforcés.</w:t>
      </w:r>
    </w:p>
    <w:p>
      <w:pPr>
        <w:pStyle w:val="Heading2"/>
        <w:spacing w:after="160" w:before="320"/>
      </w:pPr>
      <w:r>
        <w:rPr>
          <w:rFonts w:ascii="Calibri" w:cs="Calibri" w:eastAsia="Calibri" w:hAnsi="Calibri"/>
          <w:b/>
          <w:bCs/>
          <w:color w:val="0C4E54"/>
          <w:sz w:val="30"/>
          <w:szCs w:val="30"/>
        </w:rPr>
        <w:t xml:space="preserve">8.2 Les autres réseaux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600"/>
        <w:gridCol w:w="376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Réseau</w:t>
            </w:r>
          </w:p>
        </w:tc>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Nature</w:t>
            </w:r>
          </w:p>
        </w:tc>
        <w:tc>
          <w:tcPr>
            <w:tcW w:type="dxa" w:w="3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Focus</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Afkar.tn</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Plateforme entrepreneuriat</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Idéation, matching investisseurs</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Tunisian Angels Network (TAN)</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Réseau BA informel</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tech</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 Act Business Accelerator</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Accélérateur CBA</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post-label</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Space by Enpact Tunisie</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Espace et réseau</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internationales</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The Next Society</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Réseau innovation</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deep-tech</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8.3 Flat6Labs Tunis — L’accélérateur de référence</w:t>
      </w:r>
    </w:p>
    <w:p>
      <w:pPr>
        <w:spacing w:after="140" w:line="320"/>
        <w:jc w:val="both"/>
      </w:pPr>
      <w:r>
        <w:rPr>
          <w:rFonts w:ascii="Calibri" w:cs="Calibri" w:eastAsia="Calibri" w:hAnsi="Calibri"/>
          <w:color w:val="28251D"/>
          <w:sz w:val="22"/>
          <w:szCs w:val="22"/>
        </w:rPr>
        <w:t xml:space="preserve">Flat6Labs est le principal fonds de capital-risque d’amorçage de la région MENA. Sa branche tunisienne propose un programme phare de 4 mois à temps plein (« Flat6Labs Tunis Seed Program ») incluant un financement initial à la sélection, du mentorat stratégique, un espace de bureaux, une formation entrepreneuriale et la mise en relation avec des investisseurs. Après la Demo Day, les meilleures startups reçoivent un financement complémentaire.</w:t>
      </w:r>
    </w:p>
    <w:p>
      <w:pPr>
        <w:pStyle w:val="Heading3"/>
        <w:spacing w:after="120" w:before="240"/>
      </w:pPr>
      <w:r>
        <w:rPr>
          <w:rFonts w:ascii="Calibri" w:cs="Calibri" w:eastAsia="Calibri" w:hAnsi="Calibri"/>
          <w:b/>
          <w:bCs/>
          <w:color w:val="28251D"/>
          <w:sz w:val="24"/>
          <w:szCs w:val="24"/>
        </w:rPr>
        <w:t xml:space="preserve">Programmes thématiques Flat6Labs Tunisie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000"/>
        <w:gridCol w:w="35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Programme</w:t>
            </w:r>
          </w:p>
        </w:tc>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Partenaires</w:t>
            </w:r>
          </w:p>
        </w:tc>
        <w:tc>
          <w:tcPr>
            <w:tcW w:type="dxa" w:w="35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Public cible</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Ignite Tunisia</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 Expertise France (Innov’i)</w:t>
            </w:r>
          </w:p>
        </w:tc>
        <w:tc>
          <w:tcPr>
            <w:tcW w:type="dxa" w:w="3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 structures d’accompagnement régionales</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Ebda’Y Tunisia</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IFC, Smart Capital</w:t>
            </w:r>
          </w:p>
        </w:tc>
        <w:tc>
          <w:tcPr>
            <w:tcW w:type="dxa" w:w="3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Femmes entrepreneures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Green4Youth / Green Works</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Hivos, IFC, Impact Partner</w:t>
            </w:r>
          </w:p>
        </w:tc>
        <w:tc>
          <w:tcPr>
            <w:tcW w:type="dxa" w:w="3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Entrepreneurs Green Tech</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CRC Tunisia Innovation Champions</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UNICEF</w:t>
            </w:r>
          </w:p>
        </w:tc>
        <w:tc>
          <w:tcPr>
            <w:tcW w:type="dxa" w:w="3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Jeunes innovateurs (éducation, santé)</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8.4 Autres incubateurs et accélérateurs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600"/>
        <w:gridCol w:w="376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Structure</w:t>
            </w:r>
          </w:p>
        </w:tc>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w:t>
            </w:r>
          </w:p>
        </w:tc>
        <w:tc>
          <w:tcPr>
            <w:tcW w:type="dxa" w:w="3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Appui</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IntilaQ</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Pépinière</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Innovation, lien Silicon Valley</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Wiki Start Up</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Incubateur</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Mentorat, espace de travail</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B@Labs (Amen Bank)</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Incubateur bancaire</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Financement bancaire + accompagnement</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Impact Partner</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Incubateur / Accélérateur</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Green Economy</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Factory</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Accélérateur</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Pré-amorçage, formation</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Founder Institute Tunisia</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Réseau international</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Mentorat global</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Dar Al Macharii</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Centre BFPME</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Conseils, orientation financement</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8.5 Principaux concours et prix entrepreneuriaux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600"/>
        <w:gridCol w:w="39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Concours</w:t>
            </w:r>
          </w:p>
        </w:tc>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Organisateur</w:t>
            </w:r>
          </w:p>
        </w:tc>
        <w:tc>
          <w:tcPr>
            <w:tcW w:type="dxa" w:w="3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Dotation / Avantages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Orange Social Venture Prize</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Fondation Orange</w:t>
            </w:r>
          </w:p>
        </w:tc>
        <w:tc>
          <w:tcPr>
            <w:tcW w:type="dxa" w:w="3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Dotation cash + accompagnement</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Innov’i Prize (EU4Innovation)</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 / Expertise France</w:t>
            </w:r>
          </w:p>
        </w:tc>
        <w:tc>
          <w:tcPr>
            <w:tcW w:type="dxa" w:w="3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Prix en cash + accompagnement</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 Invest for Jobs</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 Allemagne</w:t>
            </w:r>
          </w:p>
        </w:tc>
        <w:tc>
          <w:tcPr>
            <w:tcW w:type="dxa" w:w="3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Co-financement projets emplois (jusqu’à 7 M€)</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Prix Tunisien des Produits Locaux</w:t>
            </w:r>
          </w:p>
        </w:tc>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Ministère Commerce</w:t>
            </w:r>
          </w:p>
        </w:tc>
        <w:tc>
          <w:tcPr>
            <w:tcW w:type="dxa" w:w="3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Mise en marché, visibilité</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Global Business Plan Competition</w:t>
            </w:r>
          </w:p>
        </w:tc>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Divers</w:t>
            </w:r>
          </w:p>
        </w:tc>
        <w:tc>
          <w:tcPr>
            <w:tcW w:type="dxa" w:w="3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Accès réseaux internationaux</w:t>
            </w:r>
          </w:p>
        </w:tc>
      </w:tr>
    </w:tbl>
    <w:p>
      <w:pPr>
        <w:pStyle w:val="Heading1"/>
        <w:pageBreakBefore/>
        <w:spacing w:after="240" w:before="480"/>
      </w:pPr>
      <w:r>
        <w:rPr>
          <w:rFonts w:ascii="Calibri" w:cs="Calibri" w:eastAsia="Calibri" w:hAnsi="Calibri"/>
          <w:b/>
          <w:bCs/>
          <w:color w:val="01696F"/>
          <w:sz w:val="40"/>
          <w:szCs w:val="40"/>
        </w:rPr>
        <w:t xml:space="preserve">Chapitre 9 — Le crowdfunding et la fintech</w:t>
      </w:r>
    </w:p>
    <w:p>
      <w:pPr>
        <w:spacing w:after="140" w:line="320"/>
        <w:jc w:val="both"/>
      </w:pPr>
      <w:r>
        <w:rPr>
          <w:rFonts w:ascii="Calibri" w:cs="Calibri" w:eastAsia="Calibri" w:hAnsi="Calibri"/>
          <w:color w:val="28251D"/>
          <w:sz w:val="22"/>
          <w:szCs w:val="22"/>
        </w:rPr>
        <w:t xml:space="preserve">Le crowdfunding (financement participatif) est entré dans le droit tunisien avec la loi n° 2020-37 du 6 août 2020. Trois ans de débats réglementaires plus tard, les décrets d’application ont été publiés en octobre 2022, et le règlement CMF a paru au JORT n° 139 du 19 novembre 2024. Les premiers agréments sont attendus en 2025.</w:t>
      </w:r>
    </w:p>
    <w:p>
      <w:pPr>
        <w:pStyle w:val="Heading2"/>
        <w:spacing w:after="160" w:before="320"/>
      </w:pPr>
      <w:r>
        <w:rPr>
          <w:rFonts w:ascii="Calibri" w:cs="Calibri" w:eastAsia="Calibri" w:hAnsi="Calibri"/>
          <w:b/>
          <w:bCs/>
          <w:color w:val="0C4E54"/>
          <w:sz w:val="30"/>
          <w:szCs w:val="30"/>
        </w:rPr>
        <w:t xml:space="preserve">9.1 Une architecture réglementaire unique au monde</w:t>
      </w:r>
    </w:p>
    <w:p>
      <w:pPr>
        <w:spacing w:after="140" w:line="320"/>
        <w:jc w:val="both"/>
      </w:pPr>
      <w:r>
        <w:rPr>
          <w:rFonts w:ascii="Calibri" w:cs="Calibri" w:eastAsia="Calibri" w:hAnsi="Calibri"/>
          <w:color w:val="28251D"/>
          <w:sz w:val="22"/>
          <w:szCs w:val="22"/>
        </w:rPr>
        <w:t xml:space="preserve">La Tunisie a choisi une régulation multi-institutionnelle inédite, avec trois autorités de tutelle selon le type de crowdfunding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1800"/>
        <w:gridCol w:w="3760"/>
      </w:tblGrid>
      <w:tr>
        <w:trPr>
          <w:tblHeader/>
        </w:trPr>
        <w:tc>
          <w:tcPr>
            <w:tcW w:type="dxa" w:w="3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 de crowdfunding</w:t>
            </w:r>
          </w:p>
        </w:tc>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Régulateur</w:t>
            </w:r>
          </w:p>
        </w:tc>
        <w:tc>
          <w:tcPr>
            <w:tcW w:type="dxa" w:w="3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Agrément accordé par</w:t>
            </w:r>
          </w:p>
        </w:tc>
      </w:tr>
      <w:tr>
        <w:tc>
          <w:tcPr>
            <w:tcW w:type="dxa" w:w="3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Crowdequity (titres financiers, obligations convertibles)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CMF</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Conseil du Marché Financier</w:t>
            </w:r>
          </w:p>
        </w:tc>
      </w:tr>
      <w:tr>
        <w:tc>
          <w:tcPr>
            <w:tcW w:type="dxa" w:w="3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Crowdlending (prêts)</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BCT</w:t>
            </w:r>
          </w:p>
        </w:tc>
        <w:tc>
          <w:tcPr>
            <w:tcW w:type="dxa" w:w="3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Gouverneur BCT (circulaire n° 2023-06)</w:t>
            </w:r>
          </w:p>
        </w:tc>
      </w:tr>
      <w:tr>
        <w:tc>
          <w:tcPr>
            <w:tcW w:type="dxa" w:w="3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Crowdgiving (dons et libéralités)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ACM</w:t>
            </w:r>
          </w:p>
        </w:tc>
        <w:tc>
          <w:tcPr>
            <w:tcW w:type="dxa" w:w="3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Autorité de Contrôle de la Microfinance</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9.2 Conditions générales d’exercice</w:t>
      </w:r>
    </w:p>
    <w:p>
      <w:pPr>
        <w:pStyle w:val="ListParagraph"/>
        <w:numPr>
          <w:ilvl w:val="0"/>
          <w:numId w:val="2"/>
        </w:numPr>
        <w:spacing w:after="80" w:line="300"/>
      </w:pPr>
      <w:r>
        <w:rPr>
          <w:rFonts w:ascii="Calibri" w:cs="Calibri" w:eastAsia="Calibri" w:hAnsi="Calibri"/>
          <w:color w:val="28251D"/>
          <w:sz w:val="22"/>
          <w:szCs w:val="22"/>
        </w:rPr>
        <w:t xml:space="preserve">Forme juridique obligatoire : société anonyme (SA) avec siège social en Tunisie.</w:t>
      </w:r>
    </w:p>
    <w:p>
      <w:pPr>
        <w:pStyle w:val="ListParagraph"/>
        <w:numPr>
          <w:ilvl w:val="0"/>
          <w:numId w:val="2"/>
        </w:numPr>
        <w:spacing w:after="80" w:line="300"/>
      </w:pPr>
      <w:r>
        <w:rPr>
          <w:rFonts w:ascii="Calibri" w:cs="Calibri" w:eastAsia="Calibri" w:hAnsi="Calibri"/>
          <w:color w:val="28251D"/>
          <w:sz w:val="22"/>
          <w:szCs w:val="22"/>
        </w:rPr>
        <w:t xml:space="preserve">Capital minimum : 100 000 DT, entièrement libéré à la constitution.</w:t>
      </w:r>
    </w:p>
    <w:p>
      <w:pPr>
        <w:pStyle w:val="ListParagraph"/>
        <w:numPr>
          <w:ilvl w:val="0"/>
          <w:numId w:val="2"/>
        </w:numPr>
        <w:spacing w:after="80" w:line="300"/>
      </w:pPr>
      <w:r>
        <w:rPr>
          <w:rFonts w:ascii="Calibri" w:cs="Calibri" w:eastAsia="Calibri" w:hAnsi="Calibri"/>
          <w:color w:val="28251D"/>
          <w:sz w:val="22"/>
          <w:szCs w:val="22"/>
        </w:rPr>
        <w:t xml:space="preserve">Plafond de collecte par projet en crowdequity : 1 million DT.</w:t>
      </w:r>
    </w:p>
    <w:p>
      <w:pPr>
        <w:pStyle w:val="ListParagraph"/>
        <w:numPr>
          <w:ilvl w:val="0"/>
          <w:numId w:val="2"/>
        </w:numPr>
        <w:spacing w:after="80" w:line="300"/>
      </w:pPr>
      <w:r>
        <w:rPr>
          <w:rFonts w:ascii="Calibri" w:cs="Calibri" w:eastAsia="Calibri" w:hAnsi="Calibri"/>
          <w:color w:val="28251D"/>
          <w:sz w:val="22"/>
          <w:szCs w:val="22"/>
        </w:rPr>
        <w:t xml:space="preserve">Adhésion obligatoire à une association professionnelle.</w:t>
      </w:r>
    </w:p>
    <w:p>
      <w:pPr>
        <w:pStyle w:val="Heading2"/>
        <w:spacing w:after="160" w:before="320"/>
      </w:pPr>
      <w:r>
        <w:rPr>
          <w:rFonts w:ascii="Calibri" w:cs="Calibri" w:eastAsia="Calibri" w:hAnsi="Calibri"/>
          <w:b/>
          <w:bCs/>
          <w:color w:val="0C4E54"/>
          <w:sz w:val="30"/>
          <w:szCs w:val="30"/>
        </w:rPr>
        <w:t xml:space="preserve">9.3 État des lieux 2025</w:t>
      </w:r>
    </w:p>
    <w:p>
      <w:pPr>
        <w:spacing w:after="140" w:line="320"/>
        <w:jc w:val="both"/>
      </w:pPr>
      <w:r>
        <w:rPr>
          <w:rFonts w:ascii="Calibri" w:cs="Calibri" w:eastAsia="Calibri" w:hAnsi="Calibri"/>
          <w:color w:val="28251D"/>
          <w:sz w:val="22"/>
          <w:szCs w:val="22"/>
        </w:rPr>
        <w:t xml:space="preserve">Au premier trimestre 2025, aucun agrément n’a encore été délivré pour l’exploitation d’une plateforme de crowdfunding en Tunisie. L’écosystème demeure en construction, les premiers agréments étant attendus pour 2025. Cette situation reflète à la fois la complexité du dispositif tripartite et la prudence des régulateurs.</w:t>
      </w:r>
    </w:p>
    <w:p>
      <w:pPr>
        <w:pStyle w:val="Heading2"/>
        <w:spacing w:after="160" w:before="320"/>
      </w:pPr>
      <w:r>
        <w:rPr>
          <w:rFonts w:ascii="Calibri" w:cs="Calibri" w:eastAsia="Calibri" w:hAnsi="Calibri"/>
          <w:b/>
          <w:bCs/>
          <w:color w:val="0C4E54"/>
          <w:sz w:val="30"/>
          <w:szCs w:val="30"/>
        </w:rPr>
        <w:t xml:space="preserve">9.4 Fintech et paiement</w:t>
      </w:r>
    </w:p>
    <w:p>
      <w:pPr>
        <w:spacing w:after="140" w:line="320"/>
        <w:jc w:val="both"/>
      </w:pPr>
      <w:r>
        <w:rPr>
          <w:rFonts w:ascii="Calibri" w:cs="Calibri" w:eastAsia="Calibri" w:hAnsi="Calibri"/>
          <w:color w:val="28251D"/>
          <w:sz w:val="22"/>
          <w:szCs w:val="22"/>
        </w:rPr>
        <w:t xml:space="preserve">Le secteur fintech tunisien reste limité par les restrictions de change et le cadre réglementaire, mais plusieurs acteurs opèrent dans les paiements numériques, le paiement mobile et le financement de chaîne d’approvisionnement. Le Startup Act facilite l’accès aux devises pour les fintech internationalisées. JoussourInvest, plateforme digitale développée dans le cadre du projet USAID JOBS, a facilité plus de 12,4 millions DT de transactions equity entre PME et investisseurs.</w:t>
      </w:r>
    </w:p>
    <w:p>
      <w:pPr>
        <w:pStyle w:val="Heading1"/>
        <w:pageBreakBefore/>
        <w:spacing w:after="240" w:before="480"/>
      </w:pPr>
      <w:r>
        <w:rPr>
          <w:rFonts w:ascii="Calibri" w:cs="Calibri" w:eastAsia="Calibri" w:hAnsi="Calibri"/>
          <w:b/>
          <w:bCs/>
          <w:color w:val="01696F"/>
          <w:sz w:val="40"/>
          <w:szCs w:val="40"/>
        </w:rPr>
        <w:t xml:space="preserve">Chapitre 10 — La finance islamique</w:t>
      </w:r>
    </w:p>
    <w:p>
      <w:pPr>
        <w:spacing w:after="140" w:line="320"/>
        <w:jc w:val="both"/>
      </w:pPr>
      <w:r>
        <w:rPr>
          <w:rFonts w:ascii="Calibri" w:cs="Calibri" w:eastAsia="Calibri" w:hAnsi="Calibri"/>
          <w:color w:val="28251D"/>
          <w:sz w:val="22"/>
          <w:szCs w:val="22"/>
        </w:rPr>
        <w:t xml:space="preserve">La finance islamique est encadrée en Tunisie par la loi n° 2001-65 du 10 juillet 2001 relative aux établissements de crédit, qui autorise les banques islamiques et les produits charia-conformes. Les banques islamiques disposent d’un Comité Charia interne qui veille à la conformité de leurs produits. Pour les PME, la finance islamique offre une alternative au crédit conventionnel, particulièrement pour les entrepreneurs sensibles aux principes éthiques ou cherchant une visibilité accrue sur le coût du financement.</w:t>
      </w:r>
    </w:p>
    <w:p>
      <w:pPr>
        <w:pStyle w:val="Heading2"/>
        <w:spacing w:after="160" w:before="320"/>
      </w:pPr>
      <w:r>
        <w:rPr>
          <w:rFonts w:ascii="Calibri" w:cs="Calibri" w:eastAsia="Calibri" w:hAnsi="Calibri"/>
          <w:b/>
          <w:bCs/>
          <w:color w:val="0C4E54"/>
          <w:sz w:val="30"/>
          <w:szCs w:val="30"/>
        </w:rPr>
        <w:t xml:space="preserve">10.1 Les trois banques islamiques tunisiennes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2800"/>
        <w:gridCol w:w="2560"/>
      </w:tblGrid>
      <w:tr>
        <w:trPr>
          <w:tblHeader/>
        </w:trPr>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Banque</w:t>
            </w:r>
          </w:p>
        </w:tc>
        <w:tc>
          <w:tcPr>
            <w:tcW w:type="dxa" w:w="1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Fondée</w:t>
            </w:r>
          </w:p>
        </w:tc>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Siège</w:t>
            </w:r>
          </w:p>
        </w:tc>
        <w:tc>
          <w:tcPr>
            <w:tcW w:type="dxa" w:w="25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 Zitouna</w:t>
            </w:r>
          </w:p>
        </w:tc>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2009</w:t>
            </w:r>
          </w:p>
        </w:tc>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Le Kram, Tunis</w:t>
            </w:r>
          </w:p>
        </w:tc>
        <w:tc>
          <w:tcPr>
            <w:tcW w:type="dxa" w:w="2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banquezitouna.com</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 Baraka Bank Tunisie</w:t>
            </w:r>
          </w:p>
        </w:tc>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1983</w:t>
            </w:r>
          </w:p>
        </w:tc>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albarakabank.com.tn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 International Bank</w:t>
            </w:r>
          </w:p>
        </w:tc>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2015</w:t>
            </w:r>
          </w:p>
        </w:tc>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Médenine + Lac 3, Tunis</w:t>
            </w:r>
          </w:p>
        </w:tc>
        <w:tc>
          <w:tcPr>
            <w:tcW w:type="dxa" w:w="2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wifakbank.com</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10.2 Les produits de finance islamique pour les PME</w:t>
      </w:r>
    </w:p>
    <w:p>
      <w:pPr>
        <w:pStyle w:val="Heading3"/>
        <w:spacing w:after="120" w:before="240"/>
      </w:pPr>
      <w:r>
        <w:rPr>
          <w:rFonts w:ascii="Calibri" w:cs="Calibri" w:eastAsia="Calibri" w:hAnsi="Calibri"/>
          <w:b/>
          <w:bCs/>
          <w:color w:val="28251D"/>
          <w:sz w:val="24"/>
          <w:szCs w:val="24"/>
        </w:rPr>
        <w:t xml:space="preserve">A. Mourabaha (مرابحة) — Vente à marge bénéficiaire</w:t>
      </w:r>
    </w:p>
    <w:p>
      <w:pPr>
        <w:spacing w:after="140" w:line="320"/>
        <w:jc w:val="both"/>
      </w:pPr>
      <w:r>
        <w:rPr>
          <w:rFonts w:ascii="Calibri" w:cs="Calibri" w:eastAsia="Calibri" w:hAnsi="Calibri"/>
          <w:color w:val="28251D"/>
          <w:sz w:val="22"/>
          <w:szCs w:val="22"/>
        </w:rPr>
        <w:t xml:space="preserve">Mécanisme : le client identifie le bien à acquérir (équipement, matière première, immeuble). La banque achète le bien auprès du fournisseur, puis le revend au client à un prix majoré d’une marge fixe et connue d’avance. Le client rembourse sur des échéances fixes. Avantages : propriété immédiate du bien dès signature, coût fixe (protection contre la variation des taux), couverture de tous les coûts directs et indirects.</w:t>
      </w:r>
    </w:p>
    <w:p>
      <w:pPr>
        <w:pStyle w:val="Heading3"/>
        <w:spacing w:after="120" w:before="240"/>
      </w:pPr>
      <w:r>
        <w:rPr>
          <w:rFonts w:ascii="Calibri" w:cs="Calibri" w:eastAsia="Calibri" w:hAnsi="Calibri"/>
          <w:b/>
          <w:bCs/>
          <w:color w:val="28251D"/>
          <w:sz w:val="24"/>
          <w:szCs w:val="24"/>
        </w:rPr>
        <w:t xml:space="preserve">B. Ijara (إجارة) — Contrat de location-vente islamique</w:t>
      </w:r>
    </w:p>
    <w:p>
      <w:pPr>
        <w:spacing w:after="140" w:line="320"/>
        <w:jc w:val="both"/>
      </w:pPr>
      <w:r>
        <w:rPr>
          <w:rFonts w:ascii="Calibri" w:cs="Calibri" w:eastAsia="Calibri" w:hAnsi="Calibri"/>
          <w:color w:val="28251D"/>
          <w:sz w:val="22"/>
          <w:szCs w:val="22"/>
        </w:rPr>
        <w:t xml:space="preserve">Mécanisme : la banque acquiert le bien et signe un contrat de location pour une durée déterminée contre des loyers, complété par une promesse de vente. À l’échéance, le bien est transféré au client pour 1 DT symbolique (ou valeur résiduelle convenue). Avantages : financement jusqu’à 100 % du coût du bien, flexibilité de la période de location, prime d’assurance souvent incluse.</w:t>
      </w:r>
    </w:p>
    <w:p>
      <w:pPr>
        <w:pStyle w:val="Heading3"/>
        <w:spacing w:after="120" w:before="240"/>
      </w:pPr>
      <w:r>
        <w:rPr>
          <w:rFonts w:ascii="Calibri" w:cs="Calibri" w:eastAsia="Calibri" w:hAnsi="Calibri"/>
          <w:b/>
          <w:bCs/>
          <w:color w:val="28251D"/>
          <w:sz w:val="24"/>
          <w:szCs w:val="24"/>
        </w:rPr>
        <w:t xml:space="preserve">C. Moudharaba (مضاربة) — Partenariat capital / travail</w:t>
      </w:r>
    </w:p>
    <w:p>
      <w:pPr>
        <w:spacing w:after="140" w:line="320"/>
        <w:jc w:val="both"/>
      </w:pPr>
      <w:r>
        <w:rPr>
          <w:rFonts w:ascii="Calibri" w:cs="Calibri" w:eastAsia="Calibri" w:hAnsi="Calibri"/>
          <w:color w:val="28251D"/>
          <w:sz w:val="22"/>
          <w:szCs w:val="22"/>
        </w:rPr>
        <w:t xml:space="preserve">Mécanisme : la banque (« Rab Al Maal ») apporte les fonds, l’entrepreneur (« Al Moudhareb ») apporte son expertise, son travail et sa gestion. La clé de répartition des bénéfices est convenue à l’avance. En cas de perte, celle-ci est supportée par la banque (sauf faute grave du Moudhareb). Adapté aux projets à fort potentiel de rentabilité et aux partenariats stratégiques.</w:t>
      </w:r>
    </w:p>
    <w:p>
      <w:pPr>
        <w:pStyle w:val="Heading3"/>
        <w:spacing w:after="120" w:before="240"/>
      </w:pPr>
      <w:r>
        <w:rPr>
          <w:rFonts w:ascii="Calibri" w:cs="Calibri" w:eastAsia="Calibri" w:hAnsi="Calibri"/>
          <w:b/>
          <w:bCs/>
          <w:color w:val="28251D"/>
          <w:sz w:val="24"/>
          <w:szCs w:val="24"/>
        </w:rPr>
        <w:t xml:space="preserve">D. Moucharaka (مشاركة) — Participation au capital</w:t>
      </w:r>
    </w:p>
    <w:p>
      <w:pPr>
        <w:spacing w:after="140" w:line="320"/>
        <w:jc w:val="both"/>
      </w:pPr>
      <w:r>
        <w:rPr>
          <w:rFonts w:ascii="Calibri" w:cs="Calibri" w:eastAsia="Calibri" w:hAnsi="Calibri"/>
          <w:color w:val="28251D"/>
          <w:sz w:val="22"/>
          <w:szCs w:val="22"/>
        </w:rPr>
        <w:t xml:space="preserve">Mécanisme : la banque et l’entrepreneur apportent tous deux du capital. Les bénéfices et les pertes sont partagés au prorata des apports ou selon un accord négocié. Adapté à la création d’entreprise, à l’extension et à la restructuration du capital.</w:t>
      </w:r>
    </w:p>
    <w:p>
      <w:pPr>
        <w:pStyle w:val="Heading2"/>
        <w:spacing w:after="160" w:before="320"/>
      </w:pPr>
      <w:r>
        <w:rPr>
          <w:rFonts w:ascii="Calibri" w:cs="Calibri" w:eastAsia="Calibri" w:hAnsi="Calibri"/>
          <w:b/>
          <w:bCs/>
          <w:color w:val="0C4E54"/>
          <w:sz w:val="30"/>
          <w:szCs w:val="30"/>
        </w:rPr>
        <w:t xml:space="preserve">10.3 Comparatif finance islamique vs conventionnelle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500"/>
        <w:gridCol w:w="3460"/>
      </w:tblGrid>
      <w:tr>
        <w:trPr>
          <w:tblHeader/>
        </w:trPr>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Critère</w:t>
            </w:r>
          </w:p>
        </w:tc>
        <w:tc>
          <w:tcPr>
            <w:tcW w:type="dxa" w:w="35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Finance islamique</w:t>
            </w:r>
          </w:p>
        </w:tc>
        <w:tc>
          <w:tcPr>
            <w:tcW w:type="dxa" w:w="34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Finance conventionnelle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Base</w:t>
            </w:r>
          </w:p>
        </w:tc>
        <w:tc>
          <w:tcPr>
            <w:tcW w:type="dxa" w:w="3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Partage du risque, actif réel sous-jacent</w:t>
            </w:r>
          </w:p>
        </w:tc>
        <w:tc>
          <w:tcPr>
            <w:tcW w:type="dxa" w:w="34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Prêt contre intérêts</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 coût</w:t>
            </w:r>
          </w:p>
        </w:tc>
        <w:tc>
          <w:tcPr>
            <w:tcW w:type="dxa" w:w="35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Marge fixe (Mourabaha) ou loyers (Ijara)</w:t>
            </w:r>
          </w:p>
        </w:tc>
        <w:tc>
          <w:tcPr>
            <w:tcW w:type="dxa" w:w="34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TMM + marge variable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Incertitude</w:t>
            </w:r>
          </w:p>
        </w:tc>
        <w:tc>
          <w:tcPr>
            <w:tcW w:type="dxa" w:w="3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Contrat fixe, pas d’intérêts composés</w:t>
            </w:r>
          </w:p>
        </w:tc>
        <w:tc>
          <w:tcPr>
            <w:tcW w:type="dxa" w:w="34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variable possible</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Garanties</w:t>
            </w:r>
          </w:p>
        </w:tc>
        <w:tc>
          <w:tcPr>
            <w:tcW w:type="dxa" w:w="35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Similaires aux banques conventionnelles</w:t>
            </w:r>
          </w:p>
        </w:tc>
        <w:tc>
          <w:tcPr>
            <w:tcW w:type="dxa" w:w="34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Hypothèques, nantissements</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TVA</w:t>
            </w:r>
          </w:p>
        </w:tc>
        <w:tc>
          <w:tcPr>
            <w:tcW w:type="dxa" w:w="35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Potentiellement applicable sur la vente</w:t>
            </w:r>
          </w:p>
        </w:tc>
        <w:tc>
          <w:tcPr>
            <w:tcW w:type="dxa" w:w="34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Non applicable sur intérêts</w:t>
            </w:r>
          </w:p>
        </w:tc>
      </w:tr>
    </w:tbl>
    <w:p>
      <w:pPr>
        <w:pStyle w:val="Heading1"/>
        <w:pageBreakBefore/>
        <w:spacing w:after="240" w:before="480"/>
      </w:pPr>
      <w:r>
        <w:rPr>
          <w:rFonts w:ascii="Calibri" w:cs="Calibri" w:eastAsia="Calibri" w:hAnsi="Calibri"/>
          <w:b/>
          <w:bCs/>
          <w:color w:val="01696F"/>
          <w:sz w:val="40"/>
          <w:szCs w:val="40"/>
        </w:rPr>
        <w:t xml:space="preserve">Chapitre 11 — Les bailleurs internationaux</w:t>
      </w:r>
    </w:p>
    <w:p>
      <w:pPr>
        <w:spacing w:after="140" w:line="320"/>
        <w:jc w:val="both"/>
      </w:pPr>
      <w:r>
        <w:rPr>
          <w:rFonts w:ascii="Calibri" w:cs="Calibri" w:eastAsia="Calibri" w:hAnsi="Calibri"/>
          <w:color w:val="28251D"/>
          <w:sz w:val="22"/>
          <w:szCs w:val="22"/>
        </w:rPr>
        <w:t xml:space="preserve">Les bailleurs internationaux jouent un rôle crucial dans le financement des PME tunisiennes, principalement de deux manières : par des lignes de crédit rétrocédées via les banques tunisiennes (qui permettent des durées longues et des taux fixes), et par des subventions ou primes complémentaires (assistance technique, conseil, primes d’investissement).</w:t>
      </w:r>
    </w:p>
    <w:p>
      <w:pPr>
        <w:pStyle w:val="Heading2"/>
        <w:spacing w:after="160" w:before="320"/>
      </w:pPr>
      <w:r>
        <w:rPr>
          <w:rFonts w:ascii="Calibri" w:cs="Calibri" w:eastAsia="Calibri" w:hAnsi="Calibri"/>
          <w:b/>
          <w:bCs/>
          <w:color w:val="0C4E54"/>
          <w:sz w:val="30"/>
          <w:szCs w:val="30"/>
        </w:rPr>
        <w:t xml:space="preserve">11.1 BEI — La référence européenne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Projet phare 2024 - 2028 : Tunisie — Relance Économique</w:t>
            </w:r>
          </w:p>
          <w:p>
            <w:r>
              <w:rPr>
                <w:rFonts w:ascii="Calibri" w:cs="Calibri" w:eastAsia="Calibri" w:hAnsi="Calibri"/>
                <w:sz w:val="20"/>
                <w:szCs w:val="20"/>
              </w:rPr>
              <w:t xml:space="preserve">170 millions d’euros signés le 18 mars 2024, garantis par l’État tunisien et rétrocédés via la BCT aux banques commerciales et sociétés de leasing au bénéfice final des PME et ETI tunisiennes.</w:t>
            </w:r>
          </w:p>
        </w:tc>
      </w:tr>
    </w:tbl>
    <w:p>
      <w:pPr>
        <w:pStyle w:val="Heading3"/>
        <w:spacing w:after="120" w:before="240"/>
      </w:pPr>
      <w:r>
        <w:rPr>
          <w:rFonts w:ascii="Calibri" w:cs="Calibri" w:eastAsia="Calibri" w:hAnsi="Calibri"/>
          <w:b/>
          <w:bCs/>
          <w:color w:val="28251D"/>
          <w:sz w:val="24"/>
          <w:szCs w:val="24"/>
        </w:rPr>
        <w:t xml:space="preserve">Conditions de la ligne BEI</w:t>
      </w:r>
    </w:p>
    <w:p>
      <w:pPr>
        <w:pStyle w:val="ListParagraph"/>
        <w:numPr>
          <w:ilvl w:val="0"/>
          <w:numId w:val="2"/>
        </w:numPr>
        <w:spacing w:after="80" w:line="300"/>
      </w:pPr>
      <w:r>
        <w:rPr>
          <w:rFonts w:ascii="Calibri" w:cs="Calibri" w:eastAsia="Calibri" w:hAnsi="Calibri"/>
          <w:color w:val="28251D"/>
          <w:sz w:val="22"/>
          <w:szCs w:val="22"/>
        </w:rPr>
        <w:t xml:space="preserve">Bénéficiaires : PME et entreprises de taille intermédiaire (ETI) tunisiennes.</w:t>
      </w:r>
    </w:p>
    <w:p>
      <w:pPr>
        <w:pStyle w:val="ListParagraph"/>
        <w:numPr>
          <w:ilvl w:val="0"/>
          <w:numId w:val="2"/>
        </w:numPr>
        <w:spacing w:after="80" w:line="300"/>
      </w:pPr>
      <w:r>
        <w:rPr>
          <w:rFonts w:ascii="Calibri" w:cs="Calibri" w:eastAsia="Calibri" w:hAnsi="Calibri"/>
          <w:color w:val="28251D"/>
          <w:sz w:val="22"/>
          <w:szCs w:val="22"/>
        </w:rPr>
        <w:t xml:space="preserve">Objet : financement d’investissements et besoins en fonds de roulement.</w:t>
      </w:r>
    </w:p>
    <w:p>
      <w:pPr>
        <w:pStyle w:val="ListParagraph"/>
        <w:numPr>
          <w:ilvl w:val="0"/>
          <w:numId w:val="2"/>
        </w:numPr>
        <w:spacing w:after="80" w:line="300"/>
      </w:pPr>
      <w:r>
        <w:rPr>
          <w:rFonts w:ascii="Calibri" w:cs="Calibri" w:eastAsia="Calibri" w:hAnsi="Calibri"/>
          <w:color w:val="28251D"/>
          <w:sz w:val="22"/>
          <w:szCs w:val="22"/>
        </w:rPr>
        <w:t xml:space="preserve">Au moins 30 % des fonds réservés aux projets d’inclusion sociale (emploi, régions, femmes, jeunes).</w:t>
      </w:r>
    </w:p>
    <w:p>
      <w:pPr>
        <w:pStyle w:val="ListParagraph"/>
        <w:numPr>
          <w:ilvl w:val="0"/>
          <w:numId w:val="2"/>
        </w:numPr>
        <w:spacing w:after="80" w:line="300"/>
      </w:pPr>
      <w:r>
        <w:rPr>
          <w:rFonts w:ascii="Calibri" w:cs="Calibri" w:eastAsia="Calibri" w:hAnsi="Calibri"/>
          <w:color w:val="28251D"/>
          <w:sz w:val="22"/>
          <w:szCs w:val="22"/>
        </w:rPr>
        <w:t xml:space="preserve">Durée longue (supérieure à ce qui est disponible sur le marché tunisien).</w:t>
      </w:r>
    </w:p>
    <w:p>
      <w:pPr>
        <w:pStyle w:val="ListParagraph"/>
        <w:numPr>
          <w:ilvl w:val="0"/>
          <w:numId w:val="2"/>
        </w:numPr>
        <w:spacing w:after="80" w:line="300"/>
      </w:pPr>
      <w:r>
        <w:rPr>
          <w:rFonts w:ascii="Calibri" w:cs="Calibri" w:eastAsia="Calibri" w:hAnsi="Calibri"/>
          <w:color w:val="28251D"/>
          <w:sz w:val="22"/>
          <w:szCs w:val="22"/>
        </w:rPr>
        <w:t xml:space="preserve">Financement en monnaie locale (dinar tunisien).</w:t>
      </w:r>
    </w:p>
    <w:p>
      <w:pPr>
        <w:pStyle w:val="Heading3"/>
        <w:spacing w:after="120" w:before="240"/>
      </w:pPr>
      <w:r>
        <w:rPr>
          <w:rFonts w:ascii="Calibri" w:cs="Calibri" w:eastAsia="Calibri" w:hAnsi="Calibri"/>
          <w:b/>
          <w:bCs/>
          <w:color w:val="28251D"/>
          <w:sz w:val="24"/>
          <w:szCs w:val="24"/>
        </w:rPr>
        <w:t xml:space="preserve">Prime Rawafed+ — Le complément BEI à connaître</w:t>
      </w:r>
    </w:p>
    <w:p>
      <w:pPr>
        <w:spacing w:after="140" w:line="320"/>
        <w:jc w:val="both"/>
      </w:pPr>
      <w:r>
        <w:rPr>
          <w:rFonts w:ascii="Calibri" w:cs="Calibri" w:eastAsia="Calibri" w:hAnsi="Calibri"/>
          <w:color w:val="28251D"/>
          <w:sz w:val="22"/>
          <w:szCs w:val="22"/>
        </w:rPr>
        <w:t xml:space="preserve">En complément de la ligne BEI, la prime Rawafed+ offre une subvention directe aux PME bénéficiaires :</w:t>
      </w:r>
    </w:p>
    <w:p>
      <w:pPr>
        <w:pStyle w:val="ListParagraph"/>
        <w:numPr>
          <w:ilvl w:val="0"/>
          <w:numId w:val="2"/>
        </w:numPr>
        <w:spacing w:after="80" w:line="300"/>
      </w:pPr>
      <w:r>
        <w:rPr>
          <w:rFonts w:ascii="Calibri" w:cs="Calibri" w:eastAsia="Calibri" w:hAnsi="Calibri"/>
          <w:color w:val="28251D"/>
          <w:sz w:val="22"/>
          <w:szCs w:val="22"/>
        </w:rPr>
        <w:t xml:space="preserve">Montant : 10 % du financement BEI accordé, minimum 1 000 €, maximum 50 000 € par PME.</w:t>
      </w:r>
    </w:p>
    <w:p>
      <w:pPr>
        <w:pStyle w:val="ListParagraph"/>
        <w:numPr>
          <w:ilvl w:val="0"/>
          <w:numId w:val="2"/>
        </w:numPr>
        <w:spacing w:after="80" w:line="300"/>
      </w:pPr>
      <w:r>
        <w:rPr>
          <w:rFonts w:ascii="Calibri" w:cs="Calibri" w:eastAsia="Calibri" w:hAnsi="Calibri"/>
          <w:color w:val="28251D"/>
          <w:sz w:val="22"/>
          <w:szCs w:val="22"/>
        </w:rPr>
        <w:t xml:space="preserve">Critère d’éligibilité : avoir obtenu un crédit BEI ET répondre à au moins un critère d’inclusion sociale.</w:t>
      </w:r>
    </w:p>
    <w:p>
      <w:pPr>
        <w:pStyle w:val="ListParagraph"/>
        <w:numPr>
          <w:ilvl w:val="0"/>
          <w:numId w:val="2"/>
        </w:numPr>
        <w:spacing w:after="80" w:line="300"/>
      </w:pPr>
      <w:r>
        <w:rPr>
          <w:rFonts w:ascii="Calibri" w:cs="Calibri" w:eastAsia="Calibri" w:hAnsi="Calibri"/>
          <w:color w:val="28251D"/>
          <w:sz w:val="22"/>
          <w:szCs w:val="22"/>
        </w:rPr>
        <w:t xml:space="preserve">18 sous-activités finançables réparties en 6 types d’actions (formation, équipements, certifications, etc.).</w:t>
      </w:r>
    </w:p>
    <w:p>
      <w:pPr>
        <w:pStyle w:val="ListParagraph"/>
        <w:numPr>
          <w:ilvl w:val="0"/>
          <w:numId w:val="2"/>
        </w:numPr>
        <w:spacing w:after="80" w:line="300"/>
      </w:pPr>
      <w:r>
        <w:rPr>
          <w:rFonts w:ascii="Calibri" w:cs="Calibri" w:eastAsia="Calibri" w:hAnsi="Calibri"/>
          <w:color w:val="28251D"/>
          <w:sz w:val="22"/>
          <w:szCs w:val="22"/>
        </w:rPr>
        <w:t xml:space="preserve">Délai de réalisation : 6 à 12 mois après attribution.</w:t>
      </w:r>
    </w:p>
    <w:p>
      <w:pPr>
        <w:spacing w:after="140" w:line="320"/>
        <w:jc w:val="both"/>
      </w:pPr>
      <w:r>
        <w:rPr>
          <w:rFonts w:ascii="Calibri" w:cs="Calibri" w:eastAsia="Calibri" w:hAnsi="Calibri"/>
          <w:sz w:val="22"/>
          <w:szCs w:val="22"/>
        </w:rPr>
        <w:t xml:space="preserve">Candidature en ligne sur la plateforme POPS via </w:t>
      </w:r>
      <w:hyperlink w:history="1" r:id="rIdohtko3qz1hifvqu9lqznb">
        <w:r>
          <w:rPr>
            <w:rFonts w:ascii="Calibri" w:cs="Calibri" w:eastAsia="Calibri" w:hAnsi="Calibri"/>
            <w:color w:val="01696F"/>
            <w:sz w:val="19"/>
            <w:szCs w:val="19"/>
            <w:u w:val="single"/>
          </w:rPr>
          <w:t xml:space="preserve">rawafed.tn</w:t>
        </w:r>
      </w:hyperlink>
      <w:r>
        <w:rPr>
          <w:rFonts w:ascii="Calibri" w:cs="Calibri" w:eastAsia="Calibri" w:hAnsi="Calibri"/>
          <w:sz w:val="22"/>
          <w:szCs w:val="22"/>
        </w:rPr>
        <w:t xml:space="preserve">. Projet financé à hauteur de 8,9 M€ par l’UE et l’AFD, mis en œuvre par Expertise France (juillet 2024 — juin 2028).</w:t>
      </w:r>
    </w:p>
    <w:p>
      <w:pPr>
        <w:pStyle w:val="Heading2"/>
        <w:spacing w:after="160" w:before="320"/>
      </w:pPr>
      <w:r>
        <w:rPr>
          <w:rFonts w:ascii="Calibri" w:cs="Calibri" w:eastAsia="Calibri" w:hAnsi="Calibri"/>
          <w:b/>
          <w:bCs/>
          <w:color w:val="0C4E54"/>
          <w:sz w:val="30"/>
          <w:szCs w:val="30"/>
        </w:rPr>
        <w:t xml:space="preserve">11.2 BERD — Conseil et financement</w:t>
      </w:r>
    </w:p>
    <w:p>
      <w:pPr>
        <w:spacing w:after="140" w:line="320"/>
        <w:jc w:val="both"/>
      </w:pPr>
      <w:r>
        <w:rPr>
          <w:rFonts w:ascii="Calibri" w:cs="Calibri" w:eastAsia="Calibri" w:hAnsi="Calibri"/>
          <w:color w:val="28251D"/>
          <w:sz w:val="22"/>
          <w:szCs w:val="22"/>
        </w:rPr>
        <w:t xml:space="preserve">La BERD a soutenu plus de 1 900 PME en Tunisie. Site : www.ebrd.com. Trois programmes méritent d’être connus :</w:t>
      </w:r>
    </w:p>
    <w:p>
      <w:pPr>
        <w:pStyle w:val="Heading3"/>
        <w:spacing w:after="120" w:before="240"/>
      </w:pPr>
      <w:r>
        <w:rPr>
          <w:rFonts w:ascii="Calibri" w:cs="Calibri" w:eastAsia="Calibri" w:hAnsi="Calibri"/>
          <w:b/>
          <w:bCs/>
          <w:color w:val="28251D"/>
          <w:sz w:val="24"/>
          <w:szCs w:val="24"/>
        </w:rPr>
        <w:t xml:space="preserve">A. Advice for Small Businesses (ASB)</w:t>
      </w:r>
    </w:p>
    <w:p>
      <w:pPr>
        <w:spacing w:after="140" w:line="320"/>
        <w:jc w:val="both"/>
      </w:pPr>
      <w:r>
        <w:rPr>
          <w:rFonts w:ascii="Calibri" w:cs="Calibri" w:eastAsia="Calibri" w:hAnsi="Calibri"/>
          <w:color w:val="28251D"/>
          <w:sz w:val="22"/>
          <w:szCs w:val="22"/>
        </w:rPr>
        <w:t xml:space="preserve">Subventions pour l’assistance technique aux PME : la BERD prend en charge 50 à 75 % du coût des missions de conseil (gestion, stratégie, export, qualité). Cible : PME formelles ayant au moins 2 à 3 ans d’existence.</w:t>
      </w:r>
    </w:p>
    <w:p>
      <w:pPr>
        <w:pStyle w:val="Heading3"/>
        <w:spacing w:after="120" w:before="240"/>
      </w:pPr>
      <w:r>
        <w:rPr>
          <w:rFonts w:ascii="Calibri" w:cs="Calibri" w:eastAsia="Calibri" w:hAnsi="Calibri"/>
          <w:b/>
          <w:bCs/>
          <w:color w:val="28251D"/>
          <w:sz w:val="24"/>
          <w:szCs w:val="24"/>
        </w:rPr>
        <w:t xml:space="preserve">B. Women in Business</w:t>
      </w:r>
    </w:p>
    <w:p>
      <w:pPr>
        <w:spacing w:after="140" w:line="320"/>
        <w:jc w:val="both"/>
      </w:pPr>
      <w:r>
        <w:rPr>
          <w:rFonts w:ascii="Calibri" w:cs="Calibri" w:eastAsia="Calibri" w:hAnsi="Calibri"/>
          <w:color w:val="28251D"/>
          <w:sz w:val="22"/>
          <w:szCs w:val="22"/>
        </w:rPr>
        <w:t xml:space="preserve">Lignes de crédit via banques partenaires + accompagnement pour entreprises dirigées par des femmes. Allocation We-Fi de 30,3 M$ pour mobiliser 170 M$ de financement femmes entrepreneuses.</w:t>
      </w:r>
    </w:p>
    <w:p>
      <w:pPr>
        <w:pStyle w:val="Heading3"/>
        <w:spacing w:after="120" w:before="240"/>
      </w:pPr>
      <w:r>
        <w:rPr>
          <w:rFonts w:ascii="Calibri" w:cs="Calibri" w:eastAsia="Calibri" w:hAnsi="Calibri"/>
          <w:b/>
          <w:bCs/>
          <w:color w:val="28251D"/>
          <w:sz w:val="24"/>
          <w:szCs w:val="24"/>
        </w:rPr>
        <w:t xml:space="preserve">C. Lignes de crédit PME</w:t>
      </w:r>
    </w:p>
    <w:p>
      <w:pPr>
        <w:spacing w:after="140" w:line="320"/>
        <w:jc w:val="both"/>
      </w:pPr>
      <w:r>
        <w:rPr>
          <w:rFonts w:ascii="Calibri" w:cs="Calibri" w:eastAsia="Calibri" w:hAnsi="Calibri"/>
          <w:color w:val="28251D"/>
          <w:sz w:val="22"/>
          <w:szCs w:val="22"/>
        </w:rPr>
        <w:t xml:space="preserve">La BERD accorde des lignes de crédit aux banques tunisiennes partenaires pour rétrocession aux PME à des conditions préférentielles.</w:t>
      </w:r>
    </w:p>
    <w:p>
      <w:pPr>
        <w:pStyle w:val="Heading2"/>
        <w:spacing w:after="160" w:before="320"/>
      </w:pPr>
      <w:r>
        <w:rPr>
          <w:rFonts w:ascii="Calibri" w:cs="Calibri" w:eastAsia="Calibri" w:hAnsi="Calibri"/>
          <w:b/>
          <w:bCs/>
          <w:color w:val="0C4E54"/>
          <w:sz w:val="30"/>
          <w:szCs w:val="30"/>
        </w:rPr>
        <w:t xml:space="preserve">11.3 AFD, Proparco et l’appui français</w:t>
      </w:r>
    </w:p>
    <w:p>
      <w:pPr>
        <w:spacing w:after="140" w:line="320"/>
        <w:jc w:val="both"/>
      </w:pPr>
      <w:r>
        <w:rPr>
          <w:rFonts w:ascii="Calibri" w:cs="Calibri" w:eastAsia="Calibri" w:hAnsi="Calibri"/>
          <w:color w:val="28251D"/>
          <w:sz w:val="22"/>
          <w:szCs w:val="22"/>
        </w:rPr>
        <w:t xml:space="preserve">L’Agence Française de Développement (AFD) finance les projets d’infrastructure, d’éducation et de transition verte en Tunisie. Elle est co-financeur du projet Rawafed+ aux côtés de l’UE.</w:t>
      </w:r>
    </w:p>
    <w:p>
      <w:pPr>
        <w:spacing w:after="140" w:line="320"/>
        <w:jc w:val="both"/>
      </w:pPr>
      <w:r>
        <w:rPr>
          <w:rFonts w:ascii="Calibri" w:cs="Calibri" w:eastAsia="Calibri" w:hAnsi="Calibri"/>
          <w:color w:val="28251D"/>
          <w:sz w:val="22"/>
          <w:szCs w:val="22"/>
        </w:rPr>
        <w:t xml:space="preserve">Proparco, filiale AFD dédiée au secteur privé, finance directement les entreprises et institutions financières tunisiennes. Produits : prêts directs, prises de participation, garanties, obligations. Public cible : PME et ETI à fort impact (emploi, inclusion, environnement).</w:t>
      </w:r>
    </w:p>
    <w:p>
      <w:pPr>
        <w:pStyle w:val="Heading2"/>
        <w:spacing w:after="160" w:before="320"/>
      </w:pPr>
      <w:r>
        <w:rPr>
          <w:rFonts w:ascii="Calibri" w:cs="Calibri" w:eastAsia="Calibri" w:hAnsi="Calibri"/>
          <w:b/>
          <w:bCs/>
          <w:color w:val="0C4E54"/>
          <w:sz w:val="30"/>
          <w:szCs w:val="30"/>
        </w:rPr>
        <w:t xml:space="preserve">11.4 GIZ — La coopération allemande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GIZ Tunisie</w:t>
            </w:r>
          </w:p>
          <w:p>
            <w:r>
              <w:rPr>
                <w:rFonts w:ascii="Calibri" w:cs="Calibri" w:eastAsia="Calibri" w:hAnsi="Calibri"/>
                <w:sz w:val="20"/>
                <w:szCs w:val="20"/>
              </w:rPr>
              <w:t xml:space="preserve">Adresse : Immeuble le Grand Boulevard, Corniche, Cité les Pins, 1053 Berges du Lac II, Tunis. Tél : +216 71 967 220. Site : giz.de / en / fr / tunisie.</w:t>
            </w:r>
          </w:p>
        </w:tc>
      </w:tr>
    </w:tbl>
    <w:p>
      <w:pPr>
        <w:pStyle w:val="Heading3"/>
        <w:spacing w:after="120" w:before="240"/>
      </w:pPr>
      <w:r>
        <w:rPr>
          <w:rFonts w:ascii="Calibri" w:cs="Calibri" w:eastAsia="Calibri" w:hAnsi="Calibri"/>
          <w:b/>
          <w:bCs/>
          <w:color w:val="28251D"/>
          <w:sz w:val="24"/>
          <w:szCs w:val="24"/>
        </w:rPr>
        <w:t xml:space="preserve">Programmes en cours</w:t>
      </w:r>
    </w:p>
    <w:p>
      <w:pPr>
        <w:pStyle w:val="ListParagraph"/>
        <w:numPr>
          <w:ilvl w:val="0"/>
          <w:numId w:val="2"/>
        </w:numPr>
        <w:spacing w:after="80" w:line="300"/>
      </w:pPr>
      <w:r>
        <w:rPr>
          <w:rFonts w:ascii="Calibri" w:cs="Calibri" w:eastAsia="Calibri" w:hAnsi="Calibri"/>
          <w:color w:val="28251D"/>
          <w:sz w:val="22"/>
          <w:szCs w:val="22"/>
        </w:rPr>
        <w:t xml:space="preserve">Partenariats pour l’emploi et l’appui aux PME en Tunisie II : renforcement compétences, investissements, dialogue politique.</w:t>
      </w:r>
    </w:p>
    <w:p>
      <w:pPr>
        <w:pStyle w:val="ListParagraph"/>
        <w:numPr>
          <w:ilvl w:val="0"/>
          <w:numId w:val="2"/>
        </w:numPr>
        <w:spacing w:after="80" w:line="300"/>
      </w:pPr>
      <w:r>
        <w:rPr>
          <w:rFonts w:ascii="Calibri" w:cs="Calibri" w:eastAsia="Calibri" w:hAnsi="Calibri"/>
          <w:color w:val="28251D"/>
          <w:sz w:val="22"/>
          <w:szCs w:val="22"/>
        </w:rPr>
        <w:t xml:space="preserve">Invest for Jobs / Investing for Employment (IFE) : subventions co-financement pour projets créateurs d’emplois. Plusieurs rondes de candidature, ouverte en 2026 en Tunisie.</w:t>
      </w:r>
    </w:p>
    <w:p>
      <w:pPr>
        <w:pStyle w:val="ListParagraph"/>
        <w:numPr>
          <w:ilvl w:val="0"/>
          <w:numId w:val="2"/>
        </w:numPr>
        <w:spacing w:after="80" w:line="300"/>
      </w:pPr>
      <w:r>
        <w:rPr>
          <w:rFonts w:ascii="Calibri" w:cs="Calibri" w:eastAsia="Calibri" w:hAnsi="Calibri"/>
          <w:color w:val="28251D"/>
          <w:sz w:val="22"/>
          <w:szCs w:val="22"/>
        </w:rPr>
        <w:t xml:space="preserve">Business Plan BFPME-GIZ : modèle de business plan élaboré conjointement, disponible sur bfpme.com.tn.</w:t>
      </w:r>
    </w:p>
    <w:p>
      <w:pPr>
        <w:pStyle w:val="Heading2"/>
        <w:spacing w:after="160" w:before="320"/>
      </w:pPr>
      <w:r>
        <w:rPr>
          <w:rFonts w:ascii="Calibri" w:cs="Calibri" w:eastAsia="Calibri" w:hAnsi="Calibri"/>
          <w:b/>
          <w:bCs/>
          <w:color w:val="0C4E54"/>
          <w:sz w:val="30"/>
          <w:szCs w:val="30"/>
        </w:rPr>
        <w:t xml:space="preserve">11.5 Banque Mondiale et IFC</w:t>
      </w:r>
    </w:p>
    <w:p>
      <w:pPr>
        <w:spacing w:after="140" w:line="320"/>
        <w:jc w:val="both"/>
      </w:pPr>
      <w:r>
        <w:rPr>
          <w:rFonts w:ascii="Calibri" w:cs="Calibri" w:eastAsia="Calibri" w:hAnsi="Calibri"/>
          <w:color w:val="28251D"/>
          <w:sz w:val="22"/>
          <w:szCs w:val="22"/>
        </w:rPr>
        <w:t xml:space="preserve">La Banque Mondiale soutient les PME tunisiennes principalement via le fonds de fonds ANAVA (cofinancé avec CDC et KfW). Plus de 30 millions de dollars investis dans 4 fonds tunisiens, levant 67 millions de dollars en tout, avec 11 investissements directs en startups.</w:t>
      </w:r>
    </w:p>
    <w:p>
      <w:pPr>
        <w:spacing w:after="140" w:line="320"/>
        <w:jc w:val="both"/>
      </w:pPr>
      <w:r>
        <w:rPr>
          <w:rFonts w:ascii="Calibri" w:cs="Calibri" w:eastAsia="Calibri" w:hAnsi="Calibri"/>
          <w:color w:val="28251D"/>
          <w:sz w:val="22"/>
          <w:szCs w:val="22"/>
        </w:rPr>
        <w:t xml:space="preserve">L’IFC, bras secteur privé de la Banque Mondiale, intervient via les institutions financières intermédiaires. Exemple concret : prêt subordonné de 40 M€ à Attijari Bank Tunisie en 2018 pour renforcer ses fonds propres et développer le financement PME et énergies durables. IFC co-finance également le programme Ebda’Y de Flat6Labs (femmes entrepreneurs).</w:t>
      </w:r>
    </w:p>
    <w:p>
      <w:pPr>
        <w:pStyle w:val="Heading2"/>
        <w:spacing w:after="160" w:before="320"/>
      </w:pPr>
      <w:r>
        <w:rPr>
          <w:rFonts w:ascii="Calibri" w:cs="Calibri" w:eastAsia="Calibri" w:hAnsi="Calibri"/>
          <w:b/>
          <w:bCs/>
          <w:color w:val="0C4E54"/>
          <w:sz w:val="30"/>
          <w:szCs w:val="30"/>
        </w:rPr>
        <w:t xml:space="preserve">11.6 USAID, BAD, KfW et UE</w:t>
      </w:r>
    </w:p>
    <w:p>
      <w:pPr>
        <w:spacing w:after="140" w:line="320"/>
        <w:jc w:val="both"/>
      </w:pPr>
      <w:r>
        <w:rPr>
          <w:rFonts w:ascii="Calibri" w:cs="Calibri" w:eastAsia="Calibri" w:hAnsi="Calibri"/>
          <w:color w:val="28251D"/>
          <w:sz w:val="22"/>
          <w:szCs w:val="22"/>
        </w:rPr>
        <w:t xml:space="preserve">Le programme USAID JOBS (Jobs, Opportunities and Business Success), doté de 69,6 millions de dollars sur 6 ans (2017-2023), a facilité 239 millions de dollars de financements pour 16 800 micro et petites entreprises, dont environ 30 % dirigées par des femmes. Le programme s’est achevé en 2023 ; la suite de l’engagement USAID est à suivre.</w:t>
      </w:r>
    </w:p>
    <w:p>
      <w:pPr>
        <w:spacing w:after="140" w:line="320"/>
        <w:jc w:val="both"/>
      </w:pPr>
      <w:r>
        <w:rPr>
          <w:rFonts w:ascii="Calibri" w:cs="Calibri" w:eastAsia="Calibri" w:hAnsi="Calibri"/>
          <w:color w:val="28251D"/>
          <w:sz w:val="22"/>
          <w:szCs w:val="22"/>
        </w:rPr>
        <w:t xml:space="preserve">La BAD (Banque Africaine de Développement), basée à Abidjan avec un bureau pays à Tunis, finance principalement les infrastructures, l’énergie, l’eau et l’agriculture. Les PME en bénéficient indirectement via les lignes de crédit aux banques publiques.</w:t>
      </w:r>
    </w:p>
    <w:p>
      <w:pPr>
        <w:spacing w:after="140" w:line="320"/>
        <w:jc w:val="both"/>
      </w:pPr>
      <w:r>
        <w:rPr>
          <w:rFonts w:ascii="Calibri" w:cs="Calibri" w:eastAsia="Calibri" w:hAnsi="Calibri"/>
          <w:color w:val="28251D"/>
          <w:sz w:val="22"/>
          <w:szCs w:val="22"/>
        </w:rPr>
        <w:t xml:space="preserve">La KfW, banque de développement allemande, intervient comme co-investisseur d’ANAVA (20 M€), accorde des lignes de crédit concessionnelles aux banques tunisiennes (notamment énergies renouvelables) et renforce les structures de garantie comme Atidi.</w:t>
      </w:r>
    </w:p>
    <w:p>
      <w:pPr>
        <w:pStyle w:val="Heading3"/>
        <w:spacing w:after="120" w:before="240"/>
      </w:pPr>
      <w:r>
        <w:rPr>
          <w:rFonts w:ascii="Calibri" w:cs="Calibri" w:eastAsia="Calibri" w:hAnsi="Calibri"/>
          <w:b/>
          <w:bCs/>
          <w:color w:val="28251D"/>
          <w:sz w:val="24"/>
          <w:szCs w:val="24"/>
        </w:rPr>
        <w:t xml:space="preserve">Programmes 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00"/>
        <w:gridCol w:w="4160"/>
      </w:tblGrid>
      <w:tr>
        <w:trPr>
          <w:tblHeader/>
        </w:trPr>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Programme</w:t>
            </w:r>
          </w:p>
        </w:tc>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Organisme</w:t>
            </w:r>
          </w:p>
        </w:tc>
        <w:tc>
          <w:tcPr>
            <w:tcW w:type="dxa" w:w="41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Objet</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Rawafed+</w:t>
            </w:r>
          </w:p>
        </w:tc>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 + AFD (Expertise France)</w:t>
            </w:r>
          </w:p>
        </w:tc>
        <w:tc>
          <w:tcPr>
            <w:tcW w:type="dxa" w:w="4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Assistance technique TPME + prime investissement BEI</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Innov’i - EU4Innovation</w:t>
            </w:r>
          </w:p>
        </w:tc>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w:t>
            </w:r>
          </w:p>
        </w:tc>
        <w:tc>
          <w:tcPr>
            <w:tcW w:type="dxa" w:w="4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Renforcement incubateurs et accélérateurs</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Programme d’appui aux PME</w:t>
            </w:r>
          </w:p>
        </w:tc>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 (divers instruments)</w:t>
            </w:r>
          </w:p>
        </w:tc>
        <w:tc>
          <w:tcPr>
            <w:tcW w:type="dxa" w:w="4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Accompagnement technique</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EBSOMED</w:t>
            </w:r>
          </w:p>
        </w:tc>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UE</w:t>
            </w:r>
          </w:p>
        </w:tc>
        <w:tc>
          <w:tcPr>
            <w:tcW w:type="dxa" w:w="4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Environnement des affaires, compétitivité PME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EEN Tunisie</w:t>
            </w:r>
          </w:p>
        </w:tc>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APII + UE</w:t>
            </w:r>
          </w:p>
        </w:tc>
        <w:tc>
          <w:tcPr>
            <w:tcW w:type="dxa" w:w="4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Mise en relation PME européennes / tunisiennes</w:t>
            </w:r>
          </w:p>
        </w:tc>
      </w:tr>
    </w:tbl>
    <w:p>
      <w:pPr>
        <w:pStyle w:val="Heading1"/>
        <w:pageBreakBefore/>
        <w:spacing w:after="240" w:before="480"/>
      </w:pPr>
      <w:r>
        <w:rPr>
          <w:rFonts w:ascii="Calibri" w:cs="Calibri" w:eastAsia="Calibri" w:hAnsi="Calibri"/>
          <w:b/>
          <w:bCs/>
          <w:color w:val="01696F"/>
          <w:sz w:val="40"/>
          <w:szCs w:val="40"/>
        </w:rPr>
        <w:t xml:space="preserve">Chapitre 12 — Subventions, primes et avantages fiscaux</w:t>
      </w:r>
    </w:p>
    <w:p>
      <w:pPr>
        <w:spacing w:after="140" w:line="320"/>
        <w:jc w:val="both"/>
      </w:pPr>
      <w:r>
        <w:rPr>
          <w:rFonts w:ascii="Calibri" w:cs="Calibri" w:eastAsia="Calibri" w:hAnsi="Calibri"/>
          <w:color w:val="28251D"/>
          <w:sz w:val="22"/>
          <w:szCs w:val="22"/>
        </w:rPr>
        <w:t xml:space="preserve">Au-delà des dispositifs de crédit et de capital, l’État tunisien octroie des primes directes et des avantages fiscaux qui peuvent considérablement réduire le coût total d’un projet d’investissement. Ces dispositifs sont régis principalement par la loi n° 2016-71 du 30 septembre 2016 (Code des investissements) et complétés chaque année par la Loi de Finances.</w:t>
      </w:r>
    </w:p>
    <w:p>
      <w:pPr>
        <w:pStyle w:val="Heading2"/>
        <w:spacing w:after="160" w:before="320"/>
      </w:pPr>
      <w:r>
        <w:rPr>
          <w:rFonts w:ascii="Calibri" w:cs="Calibri" w:eastAsia="Calibri" w:hAnsi="Calibri"/>
          <w:b/>
          <w:bCs/>
          <w:color w:val="0C4E54"/>
          <w:sz w:val="30"/>
          <w:szCs w:val="30"/>
        </w:rPr>
        <w:t xml:space="preserve">12.1 Le Code des investissements</w:t>
      </w:r>
    </w:p>
    <w:p>
      <w:pPr>
        <w:pStyle w:val="Heading3"/>
        <w:spacing w:after="120" w:before="240"/>
      </w:pPr>
      <w:r>
        <w:rPr>
          <w:rFonts w:ascii="Calibri" w:cs="Calibri" w:eastAsia="Calibri" w:hAnsi="Calibri"/>
          <w:b/>
          <w:bCs/>
          <w:color w:val="28251D"/>
          <w:sz w:val="24"/>
          <w:szCs w:val="24"/>
        </w:rPr>
        <w:t xml:space="preserve">A. Avantages automatiques</w:t>
      </w:r>
    </w:p>
    <w:p>
      <w:pPr>
        <w:spacing w:after="140" w:line="320"/>
        <w:jc w:val="both"/>
      </w:pPr>
      <w:r>
        <w:rPr>
          <w:rFonts w:ascii="Calibri" w:cs="Calibri" w:eastAsia="Calibri" w:hAnsi="Calibri"/>
          <w:color w:val="28251D"/>
          <w:sz w:val="22"/>
          <w:szCs w:val="22"/>
        </w:rPr>
        <w:t xml:space="preserve">Sans dossier préalable : déduction des bénéfices réinvestis et dégrèvement sur souscription au capital (sous conditions du code fiscal).</w:t>
      </w:r>
    </w:p>
    <w:p>
      <w:pPr>
        <w:pStyle w:val="Heading3"/>
        <w:spacing w:after="120" w:before="240"/>
      </w:pPr>
      <w:r>
        <w:rPr>
          <w:rFonts w:ascii="Calibri" w:cs="Calibri" w:eastAsia="Calibri" w:hAnsi="Calibri"/>
          <w:b/>
          <w:bCs/>
          <w:color w:val="28251D"/>
          <w:sz w:val="24"/>
          <w:szCs w:val="24"/>
        </w:rPr>
        <w:t xml:space="preserve">B. Avantages sur dossier (via ITI ou APII)</w:t>
      </w:r>
    </w:p>
    <w:p>
      <w:pPr>
        <w:pStyle w:val="Heading4"/>
        <w:spacing w:after="80" w:before="180"/>
      </w:pPr>
      <w:r>
        <w:rPr>
          <w:rFonts w:ascii="Calibri" w:cs="Calibri" w:eastAsia="Calibri" w:hAnsi="Calibri"/>
          <w:b/>
          <w:bCs/>
          <w:i w:val="false"/>
          <w:iCs w:val="false"/>
          <w:color w:val="0C4E54"/>
          <w:sz w:val="22"/>
          <w:szCs w:val="22"/>
        </w:rPr>
        <w:t xml:space="preserve">Primes de développement régional selon zone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400"/>
        <w:gridCol w:w="2200"/>
        <w:gridCol w:w="19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Zone</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Prime d’investissement</w:t>
            </w:r>
          </w:p>
        </w:tc>
        <w:tc>
          <w:tcPr>
            <w:tcW w:type="dxa" w:w="2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Prise en charge infrastructure</w:t>
            </w:r>
          </w:p>
        </w:tc>
        <w:tc>
          <w:tcPr>
            <w:tcW w:type="dxa" w:w="1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Charges sociales patronales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 prioritaire Groupe 1</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15 à 25 %</w:t>
            </w:r>
          </w:p>
        </w:tc>
        <w:tc>
          <w:tcPr>
            <w:tcW w:type="dxa" w:w="2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75 à 85 %</w:t>
            </w:r>
          </w:p>
        </w:tc>
        <w:tc>
          <w:tcPr>
            <w:tcW w:type="dxa" w:w="1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 à 10 ans</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 prioritaire Groupe 2</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30 % (plafond 2 MDT)</w:t>
            </w:r>
          </w:p>
        </w:tc>
        <w:tc>
          <w:tcPr>
            <w:tcW w:type="dxa" w:w="2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85 %</w:t>
            </w:r>
          </w:p>
        </w:tc>
        <w:tc>
          <w:tcPr>
            <w:tcW w:type="dxa" w:w="1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ans (prise en charge totale)</w:t>
            </w:r>
          </w:p>
        </w:tc>
      </w:tr>
    </w:tbl>
    <w:p>
      <w:pPr>
        <w:spacing w:after="140"/>
      </w:pPr>
      <w:r>
        <w:rPr>
          <w:rFonts w:ascii="Calibri" w:cs="Calibri" w:eastAsia="Calibri" w:hAnsi="Calibri"/>
        </w:rPr>
        <w:t xml:space="preserve"/>
      </w:r>
    </w:p>
    <w:p>
      <w:pPr>
        <w:pStyle w:val="Heading4"/>
        <w:spacing w:after="80" w:before="180"/>
      </w:pPr>
      <w:r>
        <w:rPr>
          <w:rFonts w:ascii="Calibri" w:cs="Calibri" w:eastAsia="Calibri" w:hAnsi="Calibri"/>
          <w:b/>
          <w:bCs/>
          <w:i w:val="false"/>
          <w:iCs w:val="false"/>
          <w:color w:val="0C4E54"/>
          <w:sz w:val="22"/>
          <w:szCs w:val="22"/>
        </w:rPr>
        <w:t xml:space="preserve">Avantages fiscaux Loi de Finances 2025</w:t>
      </w:r>
    </w:p>
    <w:p>
      <w:pPr>
        <w:pStyle w:val="ListParagraph"/>
        <w:numPr>
          <w:ilvl w:val="0"/>
          <w:numId w:val="2"/>
        </w:numPr>
        <w:spacing w:after="80" w:line="300"/>
      </w:pPr>
      <w:r>
        <w:rPr>
          <w:rFonts w:ascii="Calibri" w:cs="Calibri" w:eastAsia="Calibri" w:hAnsi="Calibri"/>
          <w:color w:val="28251D"/>
          <w:sz w:val="22"/>
          <w:szCs w:val="22"/>
        </w:rPr>
        <w:t xml:space="preserve">Sociétés créées en 2024 ou 2025 : IS à 0 % les premières années.</w:t>
      </w:r>
    </w:p>
    <w:p>
      <w:pPr>
        <w:pStyle w:val="ListParagraph"/>
        <w:numPr>
          <w:ilvl w:val="0"/>
          <w:numId w:val="2"/>
        </w:numPr>
        <w:spacing w:after="80" w:line="300"/>
      </w:pPr>
      <w:r>
        <w:rPr>
          <w:rFonts w:ascii="Calibri" w:cs="Calibri" w:eastAsia="Calibri" w:hAnsi="Calibri"/>
          <w:color w:val="28251D"/>
          <w:sz w:val="22"/>
          <w:szCs w:val="22"/>
        </w:rPr>
        <w:t xml:space="preserve">IS de droit commun ramené de 20 % à 15 %.</w:t>
      </w:r>
    </w:p>
    <w:p>
      <w:pPr>
        <w:pStyle w:val="ListParagraph"/>
        <w:numPr>
          <w:ilvl w:val="0"/>
          <w:numId w:val="2"/>
        </w:numPr>
        <w:spacing w:after="80" w:line="300"/>
      </w:pPr>
      <w:r>
        <w:rPr>
          <w:rFonts w:ascii="Calibri" w:cs="Calibri" w:eastAsia="Calibri" w:hAnsi="Calibri"/>
          <w:color w:val="28251D"/>
          <w:sz w:val="22"/>
          <w:szCs w:val="22"/>
        </w:rPr>
        <w:t xml:space="preserve">Dégrèvement sur réinvestissement de bénéfices prolongé jusqu’au 31 / 12 / 2024.</w:t>
      </w:r>
    </w:p>
    <w:p>
      <w:pPr>
        <w:pStyle w:val="ListParagraph"/>
        <w:numPr>
          <w:ilvl w:val="0"/>
          <w:numId w:val="2"/>
        </w:numPr>
        <w:spacing w:after="80" w:line="300"/>
      </w:pPr>
      <w:r>
        <w:rPr>
          <w:rFonts w:ascii="Calibri" w:cs="Calibri" w:eastAsia="Calibri" w:hAnsi="Calibri"/>
          <w:color w:val="28251D"/>
          <w:sz w:val="22"/>
          <w:szCs w:val="22"/>
        </w:rPr>
        <w:t xml:space="preserve">Dégrèvement SICAR / FCPR prolongé jusqu’au 31 / 12 / 2026 pour les opérations de restructuration.</w:t>
      </w:r>
    </w:p>
    <w:p>
      <w:pPr>
        <w:pStyle w:val="Heading3"/>
        <w:spacing w:after="120" w:before="240"/>
      </w:pPr>
      <w:r>
        <w:rPr>
          <w:rFonts w:ascii="Calibri" w:cs="Calibri" w:eastAsia="Calibri" w:hAnsi="Calibri"/>
          <w:b/>
          <w:bCs/>
          <w:color w:val="28251D"/>
          <w:sz w:val="24"/>
          <w:szCs w:val="24"/>
        </w:rPr>
        <w:t xml:space="preserve">C. Programme de Mise à Niveau (PMN)</w:t>
      </w:r>
    </w:p>
    <w:p>
      <w:pPr>
        <w:spacing w:after="140" w:line="320"/>
        <w:jc w:val="both"/>
      </w:pPr>
      <w:r>
        <w:rPr>
          <w:rFonts w:ascii="Calibri" w:cs="Calibri" w:eastAsia="Calibri" w:hAnsi="Calibri"/>
          <w:color w:val="28251D"/>
          <w:sz w:val="22"/>
          <w:szCs w:val="22"/>
        </w:rPr>
        <w:t xml:space="preserve">Coordonné par le Bureau de Mise à Niveau rattaché au Ministère de l’Industrie, le PMN accorde des primes pour la modernisation : prime études (jusqu’à 70 %), investissements immatériels (jusqu’à 70 %), investissements matériels (10 à 20 %). Garantie SOTUGAR FGRF associée pour les entreprises en restructuration financière.</w:t>
      </w:r>
    </w:p>
    <w:p>
      <w:pPr>
        <w:pStyle w:val="Heading2"/>
        <w:spacing w:after="160" w:before="320"/>
      </w:pPr>
      <w:r>
        <w:rPr>
          <w:rFonts w:ascii="Calibri" w:cs="Calibri" w:eastAsia="Calibri" w:hAnsi="Calibri"/>
          <w:b/>
          <w:bCs/>
          <w:color w:val="0C4E54"/>
          <w:sz w:val="30"/>
          <w:szCs w:val="30"/>
        </w:rPr>
        <w:t xml:space="preserve">12.2 APII, APIA, CEPEX — Les agences guichets</w:t>
      </w:r>
    </w:p>
    <w:p>
      <w:pPr>
        <w:pStyle w:val="Heading3"/>
        <w:spacing w:after="120" w:before="240"/>
      </w:pPr>
      <w:r>
        <w:rPr>
          <w:rFonts w:ascii="Calibri" w:cs="Calibri" w:eastAsia="Calibri" w:hAnsi="Calibri"/>
          <w:b/>
          <w:bCs/>
          <w:color w:val="28251D"/>
          <w:sz w:val="24"/>
          <w:szCs w:val="24"/>
        </w:rPr>
        <w:t xml:space="preserve">APII — Agence de Promotion de l’Industrie et de l’Innovation</w:t>
      </w:r>
    </w:p>
    <w:p>
      <w:pPr>
        <w:spacing w:after="140" w:line="320"/>
        <w:jc w:val="both"/>
      </w:pPr>
      <w:r>
        <w:rPr>
          <w:rFonts w:ascii="Calibri" w:cs="Calibri" w:eastAsia="Calibri" w:hAnsi="Calibri"/>
          <w:color w:val="28251D"/>
          <w:sz w:val="22"/>
          <w:szCs w:val="22"/>
        </w:rPr>
        <w:t xml:space="preserve">Adresse : 63, rue de Syrie, 1002 Tunis Belvédère. Site : www.tunisieindustrie.nat.tn. Guichet principal pour la déclaration des investissements industriels et l’octroi des avantages du Code. L’APII instruit les dossiers de primes pour les projets ≤ 15 millions DT (au-delà, c’est l’ITI).</w:t>
      </w:r>
    </w:p>
    <w:p>
      <w:pPr>
        <w:pStyle w:val="Heading4"/>
        <w:spacing w:after="80" w:before="180"/>
      </w:pPr>
      <w:r>
        <w:rPr>
          <w:rFonts w:ascii="Calibri" w:cs="Calibri" w:eastAsia="Calibri" w:hAnsi="Calibri"/>
          <w:b/>
          <w:bCs/>
          <w:i w:val="false"/>
          <w:iCs w:val="false"/>
          <w:color w:val="0C4E54"/>
          <w:sz w:val="22"/>
          <w:szCs w:val="22"/>
        </w:rPr>
        <w:t xml:space="preserve">FODEC — Fonds de Développement de la Compétitivité</w:t>
      </w:r>
    </w:p>
    <w:p>
      <w:pPr>
        <w:spacing w:after="140" w:line="320"/>
        <w:jc w:val="both"/>
      </w:pPr>
      <w:r>
        <w:rPr>
          <w:rFonts w:ascii="Calibri" w:cs="Calibri" w:eastAsia="Calibri" w:hAnsi="Calibri"/>
          <w:color w:val="28251D"/>
          <w:sz w:val="22"/>
          <w:szCs w:val="22"/>
        </w:rPr>
        <w:t xml:space="preserve">Le FODEC, géré par l’APII, appuie les entreprises industrielles dans la certification qualité, la mise à niveau et la R&amp;D, avec une contribution de 50 à 70 % des coûts éligibles.</w:t>
      </w:r>
    </w:p>
    <w:p>
      <w:pPr>
        <w:pStyle w:val="Heading3"/>
        <w:spacing w:after="120" w:before="240"/>
      </w:pPr>
      <w:r>
        <w:rPr>
          <w:rFonts w:ascii="Calibri" w:cs="Calibri" w:eastAsia="Calibri" w:hAnsi="Calibri"/>
          <w:b/>
          <w:bCs/>
          <w:color w:val="28251D"/>
          <w:sz w:val="24"/>
          <w:szCs w:val="24"/>
        </w:rPr>
        <w:t xml:space="preserve">APIA — Agence de Promotion des Investissements Agricoles</w:t>
      </w:r>
    </w:p>
    <w:p>
      <w:pPr>
        <w:spacing w:after="140" w:line="320"/>
        <w:jc w:val="both"/>
      </w:pPr>
      <w:r>
        <w:rPr>
          <w:rFonts w:ascii="Calibri" w:cs="Calibri" w:eastAsia="Calibri" w:hAnsi="Calibri"/>
          <w:color w:val="28251D"/>
          <w:sz w:val="22"/>
          <w:szCs w:val="22"/>
        </w:rPr>
        <w:t xml:space="preserve">Site : investissement.gov.tn. Mission : promouvoir l’investissement agricole, halieutique et agro-alimentaire. Résultat 2025 : l’APIA a agréé 2 862 projets pour une valeur totale de 515,3 millions DT. Produits : primes d’investissement agricole (15 à 25 % selon zone), prêts fonciers (via BNA), incitations pour projets irrigués, mécanisation, serres. Le prêt FOSDA (Fonds de Solidarité et de Développement Agricole) offre des conditions concessionnelles pour les petits agriculteurs.</w:t>
      </w:r>
    </w:p>
    <w:p>
      <w:pPr>
        <w:pStyle w:val="Heading3"/>
        <w:spacing w:after="120" w:before="240"/>
      </w:pPr>
      <w:r>
        <w:rPr>
          <w:rFonts w:ascii="Calibri" w:cs="Calibri" w:eastAsia="Calibri" w:hAnsi="Calibri"/>
          <w:b/>
          <w:bCs/>
          <w:color w:val="28251D"/>
          <w:sz w:val="24"/>
          <w:szCs w:val="24"/>
        </w:rPr>
        <w:t xml:space="preserve">CEPEX — Centre de Promotion des Exportations</w:t>
      </w:r>
    </w:p>
    <w:p>
      <w:pPr>
        <w:spacing w:after="140" w:line="320"/>
        <w:jc w:val="both"/>
      </w:pPr>
      <w:r>
        <w:rPr>
          <w:rFonts w:ascii="Calibri" w:cs="Calibri" w:eastAsia="Calibri" w:hAnsi="Calibri"/>
          <w:color w:val="28251D"/>
          <w:sz w:val="22"/>
          <w:szCs w:val="22"/>
        </w:rPr>
        <w:t xml:space="preserve">Site : tunisiaexport.tn. Mission : promouvoir les exportations tunisiennes et appuyer les PME exportatrices. Avantages : prise en charge partielle des coûts de participation aux foires internationales, subventions pour études de marchés étrangers, appui à la certification internationale. Le régime offshore (entreprises avec &gt; 70 % de CA à l’export) bénéficie d’un IS à 10 % et d’avantages de change.</w:t>
      </w:r>
    </w:p>
    <w:p>
      <w:pPr>
        <w:pStyle w:val="Heading2"/>
        <w:spacing w:after="160" w:before="320"/>
      </w:pPr>
      <w:r>
        <w:rPr>
          <w:rFonts w:ascii="Calibri" w:cs="Calibri" w:eastAsia="Calibri" w:hAnsi="Calibri"/>
          <w:b/>
          <w:bCs/>
          <w:color w:val="0C4E54"/>
          <w:sz w:val="30"/>
          <w:szCs w:val="30"/>
        </w:rPr>
        <w:t xml:space="preserve">12.3 Récapitulatif des avantages fiscaux principaux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36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Dispositif</w:t>
            </w:r>
          </w:p>
        </w:tc>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Avantage</w:t>
            </w:r>
          </w:p>
        </w:tc>
        <w:tc>
          <w:tcPr>
            <w:tcW w:type="dxa" w:w="3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Bénéficiaires</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Exonération nouvelles sociétés</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0 % d’IS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Sociétés créées en 2024-2025</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IS de droit commun</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15 % (au lieu de 20 %)</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de droit commun</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Dégrèvement bénéfices réinvestis</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Déduction assiette imposable</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réinvestissant</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Exonération startups</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 ans IS + TVA équipements</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labellisées</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Zones développement régional</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Charges sociales + primes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en régions</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Dégrèvement SICAR / FCPR</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Extension jusqu’au 31 / 12 / 2026</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Restructurations via SICAR</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Primes FOPRODI</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15 à 30 % investissement</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Nouveaux promoteurs industrie</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Auto-entrepreneur</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Contribution unique réduite</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 &lt; 75 000 DT</w:t>
            </w:r>
          </w:p>
        </w:tc>
      </w:tr>
    </w:tbl>
    <w:p>
      <w:pPr>
        <w:pStyle w:val="Heading1"/>
        <w:pageBreakBefore/>
        <w:spacing w:after="240" w:before="480"/>
      </w:pPr>
      <w:r>
        <w:rPr>
          <w:rFonts w:ascii="Calibri" w:cs="Calibri" w:eastAsia="Calibri" w:hAnsi="Calibri"/>
          <w:b/>
          <w:bCs/>
          <w:color w:val="01696F"/>
          <w:sz w:val="40"/>
          <w:szCs w:val="40"/>
        </w:rPr>
        <w:t xml:space="preserve">Chapitre 13 — Guide pratique : monter un dossier de financement</w:t>
      </w:r>
    </w:p>
    <w:p>
      <w:pPr>
        <w:spacing w:after="140" w:line="320"/>
        <w:jc w:val="both"/>
      </w:pPr>
      <w:r>
        <w:rPr>
          <w:rFonts w:ascii="Calibri" w:cs="Calibri" w:eastAsia="Calibri" w:hAnsi="Calibri"/>
          <w:color w:val="28251D"/>
          <w:sz w:val="22"/>
          <w:szCs w:val="22"/>
        </w:rPr>
        <w:t xml:space="preserve">Cette partie opérationnelle synthétise les sept étapes clés d’un parcours de financement, les composantes d’un business plan bancable, les ratios financiers attendus, les garanties usuelles, et les erreurs courantes à éviter.</w:t>
      </w:r>
    </w:p>
    <w:p>
      <w:pPr>
        <w:pStyle w:val="Heading2"/>
        <w:spacing w:after="160" w:before="320"/>
      </w:pPr>
      <w:r>
        <w:rPr>
          <w:rFonts w:ascii="Calibri" w:cs="Calibri" w:eastAsia="Calibri" w:hAnsi="Calibri"/>
          <w:b/>
          <w:bCs/>
          <w:color w:val="0C4E54"/>
          <w:sz w:val="30"/>
          <w:szCs w:val="30"/>
        </w:rPr>
        <w:t xml:space="preserve">13.1 Les sept étapes pour obtenir un financement</w:t>
      </w:r>
    </w:p>
    <w:p>
      <w:pPr>
        <w:pStyle w:val="ListParagraph"/>
        <w:numPr>
          <w:ilvl w:val="0"/>
          <w:numId w:val="8"/>
        </w:numPr>
        <w:spacing w:after="100" w:line="300"/>
      </w:pPr>
      <w:r>
        <w:rPr>
          <w:rFonts w:ascii="Calibri" w:cs="Calibri" w:eastAsia="Calibri" w:hAnsi="Calibri"/>
          <w:color w:val="28251D"/>
          <w:sz w:val="22"/>
          <w:szCs w:val="22"/>
        </w:rPr>
        <w:t xml:space="preserve">Définir précisément son besoin de financement (nature, montant, durée, capacité d’autofinancement).</w:t>
      </w:r>
    </w:p>
    <w:p>
      <w:pPr>
        <w:pStyle w:val="ListParagraph"/>
        <w:numPr>
          <w:ilvl w:val="0"/>
          <w:numId w:val="8"/>
        </w:numPr>
        <w:spacing w:after="100" w:line="300"/>
      </w:pPr>
      <w:r>
        <w:rPr>
          <w:rFonts w:ascii="Calibri" w:cs="Calibri" w:eastAsia="Calibri" w:hAnsi="Calibri"/>
          <w:color w:val="28251D"/>
          <w:sz w:val="22"/>
          <w:szCs w:val="22"/>
        </w:rPr>
        <w:t xml:space="preserve">Identifier la ou les sources de financement appropriées au stade et à la taille du projet.</w:t>
      </w:r>
    </w:p>
    <w:p>
      <w:pPr>
        <w:pStyle w:val="ListParagraph"/>
        <w:numPr>
          <w:ilvl w:val="0"/>
          <w:numId w:val="8"/>
        </w:numPr>
        <w:spacing w:after="100" w:line="300"/>
      </w:pPr>
      <w:r>
        <w:rPr>
          <w:rFonts w:ascii="Calibri" w:cs="Calibri" w:eastAsia="Calibri" w:hAnsi="Calibri"/>
          <w:color w:val="28251D"/>
          <w:sz w:val="22"/>
          <w:szCs w:val="22"/>
        </w:rPr>
        <w:t xml:space="preserve">Préparer un business plan bancable et étayé.</w:t>
      </w:r>
    </w:p>
    <w:p>
      <w:pPr>
        <w:pStyle w:val="ListParagraph"/>
        <w:numPr>
          <w:ilvl w:val="0"/>
          <w:numId w:val="8"/>
        </w:numPr>
        <w:spacing w:after="100" w:line="300"/>
      </w:pPr>
      <w:r>
        <w:rPr>
          <w:rFonts w:ascii="Calibri" w:cs="Calibri" w:eastAsia="Calibri" w:hAnsi="Calibri"/>
          <w:color w:val="28251D"/>
          <w:sz w:val="22"/>
          <w:szCs w:val="22"/>
        </w:rPr>
        <w:t xml:space="preserve">Constituer le dossier de demande avec toutes les pièces justificatives.</w:t>
      </w:r>
    </w:p>
    <w:p>
      <w:pPr>
        <w:pStyle w:val="ListParagraph"/>
        <w:numPr>
          <w:ilvl w:val="0"/>
          <w:numId w:val="8"/>
        </w:numPr>
        <w:spacing w:after="100" w:line="300"/>
      </w:pPr>
      <w:r>
        <w:rPr>
          <w:rFonts w:ascii="Calibri" w:cs="Calibri" w:eastAsia="Calibri" w:hAnsi="Calibri"/>
          <w:color w:val="28251D"/>
          <w:sz w:val="22"/>
          <w:szCs w:val="22"/>
        </w:rPr>
        <w:t xml:space="preserve">Déposer le dossier et suivre l’instruction (relances régulières).</w:t>
      </w:r>
    </w:p>
    <w:p>
      <w:pPr>
        <w:pStyle w:val="ListParagraph"/>
        <w:numPr>
          <w:ilvl w:val="0"/>
          <w:numId w:val="8"/>
        </w:numPr>
        <w:spacing w:after="100" w:line="300"/>
      </w:pPr>
      <w:r>
        <w:rPr>
          <w:rFonts w:ascii="Calibri" w:cs="Calibri" w:eastAsia="Calibri" w:hAnsi="Calibri"/>
          <w:color w:val="28251D"/>
          <w:sz w:val="22"/>
          <w:szCs w:val="22"/>
        </w:rPr>
        <w:t xml:space="preserve">Négocier les conditions (taux, durée, période de grâce, garanties).</w:t>
      </w:r>
    </w:p>
    <w:p>
      <w:pPr>
        <w:pStyle w:val="ListParagraph"/>
        <w:numPr>
          <w:ilvl w:val="0"/>
          <w:numId w:val="8"/>
        </w:numPr>
        <w:spacing w:after="100" w:line="300"/>
      </w:pPr>
      <w:r>
        <w:rPr>
          <w:rFonts w:ascii="Calibri" w:cs="Calibri" w:eastAsia="Calibri" w:hAnsi="Calibri"/>
          <w:color w:val="28251D"/>
          <w:sz w:val="22"/>
          <w:szCs w:val="22"/>
        </w:rPr>
        <w:t xml:space="preserve">Mobiliser les garanties (SOTUGAR, hypothèque, caution).</w:t>
      </w:r>
    </w:p>
    <w:p>
      <w:pPr>
        <w:pStyle w:val="Heading2"/>
        <w:spacing w:after="160" w:before="320"/>
      </w:pPr>
      <w:r>
        <w:rPr>
          <w:rFonts w:ascii="Calibri" w:cs="Calibri" w:eastAsia="Calibri" w:hAnsi="Calibri"/>
          <w:b/>
          <w:bCs/>
          <w:color w:val="0C4E54"/>
          <w:sz w:val="30"/>
          <w:szCs w:val="30"/>
        </w:rPr>
        <w:t xml:space="preserve">13.2 Identifier la source de financement appropriée</w:t>
      </w:r>
    </w:p>
    <w:p>
      <w:pPr>
        <w:spacing w:after="140" w:line="320"/>
        <w:jc w:val="both"/>
      </w:pPr>
      <w:r>
        <w:rPr>
          <w:rFonts w:ascii="Calibri" w:cs="Calibri" w:eastAsia="Calibri" w:hAnsi="Calibri"/>
          <w:color w:val="28251D"/>
          <w:sz w:val="22"/>
          <w:szCs w:val="22"/>
        </w:rPr>
        <w:t xml:space="preserve">Le choix de la source dépend principalement du montant du projet et du stade de l’entreprise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rPr>
          <w:tblHeader/>
        </w:trPr>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Montant projet</w:t>
            </w:r>
          </w:p>
        </w:tc>
        <w:tc>
          <w:tcPr>
            <w:tcW w:type="dxa" w:w="2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Stade</w:t>
            </w:r>
          </w:p>
        </w:tc>
        <w:tc>
          <w:tcPr>
            <w:tcW w:type="dxa" w:w="45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Source prioritaire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&lt; 10 000 DT</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Micro-projet / artisanat</w:t>
            </w:r>
          </w:p>
        </w:tc>
        <w:tc>
          <w:tcPr>
            <w:tcW w:type="dxa" w:w="4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FONAPRAM, BTS Bank, Enda Tamweel</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10 000 à 50 000 DT</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Micro-entreprise</w:t>
            </w:r>
          </w:p>
        </w:tc>
        <w:tc>
          <w:tcPr>
            <w:tcW w:type="dxa" w:w="4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FONAPRAM, BTS Bank, Taysir Microfinance</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50 000 à 200 000 DT</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Petite entreprise</w:t>
            </w:r>
          </w:p>
        </w:tc>
        <w:tc>
          <w:tcPr>
            <w:tcW w:type="dxa" w:w="4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 Bank, banques commerciales + SOTUGAR</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100 000 DT à 2,5 MDT</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création</w:t>
            </w:r>
          </w:p>
        </w:tc>
        <w:tc>
          <w:tcPr>
            <w:tcW w:type="dxa" w:w="4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 + banque cofinanceur + SICAR + SOTUGAR</w:t>
            </w:r>
          </w:p>
        </w:tc>
      </w:tr>
      <w:tr>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2,5 à 15 MDT</w:t>
            </w:r>
          </w:p>
        </w:tc>
        <w:tc>
          <w:tcPr>
            <w:tcW w:type="dxa" w:w="2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extension</w:t>
            </w:r>
          </w:p>
        </w:tc>
        <w:tc>
          <w:tcPr>
            <w:tcW w:type="dxa" w:w="4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Banques commerciales (lignes BEI / KfW) + BFPME</w:t>
            </w:r>
          </w:p>
        </w:tc>
      </w:tr>
      <w:tr>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Innovation / Tech</w:t>
            </w:r>
          </w:p>
        </w:tc>
        <w:tc>
          <w:tcPr>
            <w:tcW w:type="dxa" w:w="2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w:t>
            </w:r>
          </w:p>
        </w:tc>
        <w:tc>
          <w:tcPr>
            <w:tcW w:type="dxa" w:w="4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Act + 216 Capital + Flat6Labs + SICAR</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13.3 Les composantes d’un business plan bancable</w:t>
      </w:r>
    </w:p>
    <w:p>
      <w:pPr>
        <w:pStyle w:val="Heading3"/>
        <w:spacing w:after="120" w:before="240"/>
      </w:pPr>
      <w:r>
        <w:rPr>
          <w:rFonts w:ascii="Calibri" w:cs="Calibri" w:eastAsia="Calibri" w:hAnsi="Calibri"/>
          <w:b/>
          <w:bCs/>
          <w:color w:val="28251D"/>
          <w:sz w:val="24"/>
          <w:szCs w:val="24"/>
        </w:rPr>
        <w:t xml:space="preserve">A. Présentation du projet et du promoteur</w:t>
      </w:r>
    </w:p>
    <w:p>
      <w:pPr>
        <w:pStyle w:val="ListParagraph"/>
        <w:numPr>
          <w:ilvl w:val="0"/>
          <w:numId w:val="2"/>
        </w:numPr>
        <w:spacing w:after="80" w:line="300"/>
      </w:pPr>
      <w:r>
        <w:rPr>
          <w:rFonts w:ascii="Calibri" w:cs="Calibri" w:eastAsia="Calibri" w:hAnsi="Calibri"/>
          <w:color w:val="28251D"/>
          <w:sz w:val="22"/>
          <w:szCs w:val="22"/>
        </w:rPr>
        <w:t xml:space="preserve">Identité du promoteur (CIN, CV, diplômes, expérience professionnelle).</w:t>
      </w:r>
    </w:p>
    <w:p>
      <w:pPr>
        <w:pStyle w:val="ListParagraph"/>
        <w:numPr>
          <w:ilvl w:val="0"/>
          <w:numId w:val="2"/>
        </w:numPr>
        <w:spacing w:after="80" w:line="300"/>
      </w:pPr>
      <w:r>
        <w:rPr>
          <w:rFonts w:ascii="Calibri" w:cs="Calibri" w:eastAsia="Calibri" w:hAnsi="Calibri"/>
          <w:color w:val="28251D"/>
          <w:sz w:val="22"/>
          <w:szCs w:val="22"/>
        </w:rPr>
        <w:t xml:space="preserve">Description de l’idée, du concept, du produit ou du service.</w:t>
      </w:r>
    </w:p>
    <w:p>
      <w:pPr>
        <w:pStyle w:val="ListParagraph"/>
        <w:numPr>
          <w:ilvl w:val="0"/>
          <w:numId w:val="2"/>
        </w:numPr>
        <w:spacing w:after="80" w:line="300"/>
      </w:pPr>
      <w:r>
        <w:rPr>
          <w:rFonts w:ascii="Calibri" w:cs="Calibri" w:eastAsia="Calibri" w:hAnsi="Calibri"/>
          <w:color w:val="28251D"/>
          <w:sz w:val="22"/>
          <w:szCs w:val="22"/>
        </w:rPr>
        <w:t xml:space="preserve">Forme juridique et capital social envisagé.</w:t>
      </w:r>
    </w:p>
    <w:p>
      <w:pPr>
        <w:pStyle w:val="ListParagraph"/>
        <w:numPr>
          <w:ilvl w:val="0"/>
          <w:numId w:val="2"/>
        </w:numPr>
        <w:spacing w:after="80" w:line="300"/>
      </w:pPr>
      <w:r>
        <w:rPr>
          <w:rFonts w:ascii="Calibri" w:cs="Calibri" w:eastAsia="Calibri" w:hAnsi="Calibri"/>
          <w:color w:val="28251D"/>
          <w:sz w:val="22"/>
          <w:szCs w:val="22"/>
        </w:rPr>
        <w:t xml:space="preserve">Secteur d’activité et marché cible.</w:t>
      </w:r>
    </w:p>
    <w:p>
      <w:pPr>
        <w:pStyle w:val="ListParagraph"/>
        <w:numPr>
          <w:ilvl w:val="0"/>
          <w:numId w:val="2"/>
        </w:numPr>
        <w:spacing w:after="80" w:line="300"/>
      </w:pPr>
      <w:r>
        <w:rPr>
          <w:rFonts w:ascii="Calibri" w:cs="Calibri" w:eastAsia="Calibri" w:hAnsi="Calibri"/>
          <w:color w:val="28251D"/>
          <w:sz w:val="22"/>
          <w:szCs w:val="22"/>
        </w:rPr>
        <w:t xml:space="preserve">Avantages concurrentiels et différenciation.</w:t>
      </w:r>
    </w:p>
    <w:p>
      <w:pPr>
        <w:pStyle w:val="Heading3"/>
        <w:spacing w:after="120" w:before="240"/>
      </w:pPr>
      <w:r>
        <w:rPr>
          <w:rFonts w:ascii="Calibri" w:cs="Calibri" w:eastAsia="Calibri" w:hAnsi="Calibri"/>
          <w:b/>
          <w:bCs/>
          <w:color w:val="28251D"/>
          <w:sz w:val="24"/>
          <w:szCs w:val="24"/>
        </w:rPr>
        <w:t xml:space="preserve">B. Étude de marché</w:t>
      </w:r>
    </w:p>
    <w:p>
      <w:pPr>
        <w:pStyle w:val="ListParagraph"/>
        <w:numPr>
          <w:ilvl w:val="0"/>
          <w:numId w:val="2"/>
        </w:numPr>
        <w:spacing w:after="80" w:line="300"/>
      </w:pPr>
      <w:r>
        <w:rPr>
          <w:rFonts w:ascii="Calibri" w:cs="Calibri" w:eastAsia="Calibri" w:hAnsi="Calibri"/>
          <w:color w:val="28251D"/>
          <w:sz w:val="22"/>
          <w:szCs w:val="22"/>
        </w:rPr>
        <w:t xml:space="preserve">Taille et segmentation du marché cible.</w:t>
      </w:r>
    </w:p>
    <w:p>
      <w:pPr>
        <w:pStyle w:val="ListParagraph"/>
        <w:numPr>
          <w:ilvl w:val="0"/>
          <w:numId w:val="2"/>
        </w:numPr>
        <w:spacing w:after="80" w:line="300"/>
      </w:pPr>
      <w:r>
        <w:rPr>
          <w:rFonts w:ascii="Calibri" w:cs="Calibri" w:eastAsia="Calibri" w:hAnsi="Calibri"/>
          <w:color w:val="28251D"/>
          <w:sz w:val="22"/>
          <w:szCs w:val="22"/>
        </w:rPr>
        <w:t xml:space="preserve">Analyse de la concurrence directe et indirecte.</w:t>
      </w:r>
    </w:p>
    <w:p>
      <w:pPr>
        <w:pStyle w:val="ListParagraph"/>
        <w:numPr>
          <w:ilvl w:val="0"/>
          <w:numId w:val="2"/>
        </w:numPr>
        <w:spacing w:after="80" w:line="300"/>
      </w:pPr>
      <w:r>
        <w:rPr>
          <w:rFonts w:ascii="Calibri" w:cs="Calibri" w:eastAsia="Calibri" w:hAnsi="Calibri"/>
          <w:color w:val="28251D"/>
          <w:sz w:val="22"/>
          <w:szCs w:val="22"/>
        </w:rPr>
        <w:t xml:space="preserve">Prix de marché et tendances sectorielles.</w:t>
      </w:r>
    </w:p>
    <w:p>
      <w:pPr>
        <w:pStyle w:val="ListParagraph"/>
        <w:numPr>
          <w:ilvl w:val="0"/>
          <w:numId w:val="2"/>
        </w:numPr>
        <w:spacing w:after="80" w:line="300"/>
      </w:pPr>
      <w:r>
        <w:rPr>
          <w:rFonts w:ascii="Calibri" w:cs="Calibri" w:eastAsia="Calibri" w:hAnsi="Calibri"/>
          <w:color w:val="28251D"/>
          <w:sz w:val="22"/>
          <w:szCs w:val="22"/>
        </w:rPr>
        <w:t xml:space="preserve">Canaux de distribution et politique commerciale.</w:t>
      </w:r>
    </w:p>
    <w:p>
      <w:pPr>
        <w:pStyle w:val="ListParagraph"/>
        <w:numPr>
          <w:ilvl w:val="0"/>
          <w:numId w:val="2"/>
        </w:numPr>
        <w:spacing w:after="80" w:line="300"/>
      </w:pPr>
      <w:r>
        <w:rPr>
          <w:rFonts w:ascii="Calibri" w:cs="Calibri" w:eastAsia="Calibri" w:hAnsi="Calibri"/>
          <w:color w:val="28251D"/>
          <w:sz w:val="22"/>
          <w:szCs w:val="22"/>
        </w:rPr>
        <w:t xml:space="preserve">Projections de chiffre d’affaires sur 3 à 5 ans.</w:t>
      </w:r>
    </w:p>
    <w:p>
      <w:pPr>
        <w:pStyle w:val="Heading3"/>
        <w:spacing w:after="120" w:before="240"/>
      </w:pPr>
      <w:r>
        <w:rPr>
          <w:rFonts w:ascii="Calibri" w:cs="Calibri" w:eastAsia="Calibri" w:hAnsi="Calibri"/>
          <w:b/>
          <w:bCs/>
          <w:color w:val="28251D"/>
          <w:sz w:val="24"/>
          <w:szCs w:val="24"/>
        </w:rPr>
        <w:t xml:space="preserve">C. Plan d’investissement</w:t>
      </w:r>
    </w:p>
    <w:p>
      <w:pPr>
        <w:spacing w:after="140" w:line="320"/>
        <w:jc w:val="both"/>
      </w:pPr>
      <w:r>
        <w:rPr>
          <w:rFonts w:ascii="Calibri" w:cs="Calibri" w:eastAsia="Calibri" w:hAnsi="Calibri"/>
          <w:color w:val="28251D"/>
          <w:sz w:val="22"/>
          <w:szCs w:val="22"/>
        </w:rPr>
        <w:t xml:space="preserve">Décomposition détaillée du coût total : terrain, bâtiment, équipements, matériel roulant, aménagements, investissements immatériels (logiciels, brevets, franchise). Joindre devis et factures pro forma pour chaque poste, ainsi que la déclaration APII ou APIA si applicable.</w:t>
      </w:r>
    </w:p>
    <w:p>
      <w:pPr>
        <w:pStyle w:val="Heading3"/>
        <w:spacing w:after="120" w:before="240"/>
      </w:pPr>
      <w:r>
        <w:rPr>
          <w:rFonts w:ascii="Calibri" w:cs="Calibri" w:eastAsia="Calibri" w:hAnsi="Calibri"/>
          <w:b/>
          <w:bCs/>
          <w:color w:val="28251D"/>
          <w:sz w:val="24"/>
          <w:szCs w:val="24"/>
        </w:rPr>
        <w:t xml:space="preserve">D. Plan de financement</w:t>
      </w:r>
    </w:p>
    <w:p>
      <w:pPr>
        <w:spacing w:after="140" w:line="320"/>
        <w:jc w:val="both"/>
      </w:pPr>
      <w:r>
        <w:rPr>
          <w:rFonts w:ascii="Calibri" w:cs="Calibri" w:eastAsia="Calibri" w:hAnsi="Calibri"/>
          <w:color w:val="28251D"/>
          <w:sz w:val="22"/>
          <w:szCs w:val="22"/>
        </w:rPr>
        <w:t xml:space="preserve">Sources et emplois de fonds : apport personnel + crédit bancaire + SICAR + primes étatiques. Le tableau doit toujours équilibrer total sources = total emplois.</w:t>
      </w:r>
    </w:p>
    <w:p>
      <w:pPr>
        <w:pStyle w:val="Heading3"/>
        <w:spacing w:after="120" w:before="240"/>
      </w:pPr>
      <w:r>
        <w:rPr>
          <w:rFonts w:ascii="Calibri" w:cs="Calibri" w:eastAsia="Calibri" w:hAnsi="Calibri"/>
          <w:b/>
          <w:bCs/>
          <w:color w:val="28251D"/>
          <w:sz w:val="24"/>
          <w:szCs w:val="24"/>
        </w:rPr>
        <w:t xml:space="preserve">E. Prévisions financières (3 à 5 ans)</w:t>
      </w:r>
    </w:p>
    <w:p>
      <w:pPr>
        <w:pStyle w:val="ListParagraph"/>
        <w:numPr>
          <w:ilvl w:val="0"/>
          <w:numId w:val="2"/>
        </w:numPr>
        <w:spacing w:after="80" w:line="300"/>
      </w:pPr>
      <w:r>
        <w:rPr>
          <w:rFonts w:ascii="Calibri" w:cs="Calibri" w:eastAsia="Calibri" w:hAnsi="Calibri"/>
          <w:color w:val="28251D"/>
          <w:sz w:val="22"/>
          <w:szCs w:val="22"/>
        </w:rPr>
        <w:t xml:space="preserve">Compte de résultat prévisionnel : CA, coûts variables, marge brute, charges fixes, EBITDA, amortissements, résultat net.</w:t>
      </w:r>
    </w:p>
    <w:p>
      <w:pPr>
        <w:pStyle w:val="ListParagraph"/>
        <w:numPr>
          <w:ilvl w:val="0"/>
          <w:numId w:val="2"/>
        </w:numPr>
        <w:spacing w:after="80" w:line="300"/>
      </w:pPr>
      <w:r>
        <w:rPr>
          <w:rFonts w:ascii="Calibri" w:cs="Calibri" w:eastAsia="Calibri" w:hAnsi="Calibri"/>
          <w:color w:val="28251D"/>
          <w:sz w:val="22"/>
          <w:szCs w:val="22"/>
        </w:rPr>
        <w:t xml:space="preserve">Bilan prévisionnel : équilibre actif (immobilisations + circulant) = passif (capitaux propres + dettes).</w:t>
      </w:r>
    </w:p>
    <w:p>
      <w:pPr>
        <w:pStyle w:val="ListParagraph"/>
        <w:numPr>
          <w:ilvl w:val="0"/>
          <w:numId w:val="2"/>
        </w:numPr>
        <w:spacing w:after="80" w:line="300"/>
      </w:pPr>
      <w:r>
        <w:rPr>
          <w:rFonts w:ascii="Calibri" w:cs="Calibri" w:eastAsia="Calibri" w:hAnsi="Calibri"/>
          <w:color w:val="28251D"/>
          <w:sz w:val="22"/>
          <w:szCs w:val="22"/>
        </w:rPr>
        <w:t xml:space="preserve">Plan de trésorerie mensuel : encaissements et décaissements.</w:t>
      </w:r>
    </w:p>
    <w:p>
      <w:pPr>
        <w:pStyle w:val="ListParagraph"/>
        <w:numPr>
          <w:ilvl w:val="0"/>
          <w:numId w:val="2"/>
        </w:numPr>
        <w:spacing w:after="80" w:line="300"/>
      </w:pPr>
      <w:r>
        <w:rPr>
          <w:rFonts w:ascii="Calibri" w:cs="Calibri" w:eastAsia="Calibri" w:hAnsi="Calibri"/>
          <w:color w:val="28251D"/>
          <w:sz w:val="22"/>
          <w:szCs w:val="22"/>
        </w:rPr>
        <w:t xml:space="preserve">Tableau de remboursement du crédit.</w:t>
      </w:r>
    </w:p>
    <w:p>
      <w:pPr>
        <w:pStyle w:val="Heading3"/>
        <w:spacing w:after="120" w:before="240"/>
      </w:pPr>
      <w:r>
        <w:rPr>
          <w:rFonts w:ascii="Calibri" w:cs="Calibri" w:eastAsia="Calibri" w:hAnsi="Calibri"/>
          <w:b/>
          <w:bCs/>
          <w:color w:val="28251D"/>
          <w:sz w:val="24"/>
          <w:szCs w:val="24"/>
        </w:rPr>
        <w:t xml:space="preserve">F. Indicateurs de rentabilité</w:t>
      </w:r>
    </w:p>
    <w:p>
      <w:pPr>
        <w:pStyle w:val="ListParagraph"/>
        <w:numPr>
          <w:ilvl w:val="0"/>
          <w:numId w:val="2"/>
        </w:numPr>
        <w:spacing w:after="80" w:line="300"/>
      </w:pPr>
      <w:r>
        <w:rPr>
          <w:rFonts w:ascii="Calibri" w:cs="Calibri" w:eastAsia="Calibri" w:hAnsi="Calibri"/>
          <w:color w:val="28251D"/>
          <w:sz w:val="22"/>
          <w:szCs w:val="22"/>
        </w:rPr>
        <w:t xml:space="preserve">Chiffre d’affaires du point mort (seuil de rentabilité).</w:t>
      </w:r>
    </w:p>
    <w:p>
      <w:pPr>
        <w:pStyle w:val="ListParagraph"/>
        <w:numPr>
          <w:ilvl w:val="0"/>
          <w:numId w:val="2"/>
        </w:numPr>
        <w:spacing w:after="80" w:line="300"/>
      </w:pPr>
      <w:r>
        <w:rPr>
          <w:rFonts w:ascii="Calibri" w:cs="Calibri" w:eastAsia="Calibri" w:hAnsi="Calibri"/>
          <w:color w:val="28251D"/>
          <w:sz w:val="22"/>
          <w:szCs w:val="22"/>
        </w:rPr>
        <w:t xml:space="preserve">Délai de récupération de l’investissement (DRI).</w:t>
      </w:r>
    </w:p>
    <w:p>
      <w:pPr>
        <w:pStyle w:val="ListParagraph"/>
        <w:numPr>
          <w:ilvl w:val="0"/>
          <w:numId w:val="2"/>
        </w:numPr>
        <w:spacing w:after="80" w:line="300"/>
      </w:pPr>
      <w:r>
        <w:rPr>
          <w:rFonts w:ascii="Calibri" w:cs="Calibri" w:eastAsia="Calibri" w:hAnsi="Calibri"/>
          <w:color w:val="28251D"/>
          <w:sz w:val="22"/>
          <w:szCs w:val="22"/>
        </w:rPr>
        <w:t xml:space="preserve">Valeur Actuelle Nette (VAN) et Taux de Rentabilité Interne (TRI).</w:t>
      </w:r>
    </w:p>
    <w:p>
      <w:pPr>
        <w:pStyle w:val="ListParagraph"/>
        <w:numPr>
          <w:ilvl w:val="0"/>
          <w:numId w:val="2"/>
        </w:numPr>
        <w:spacing w:after="80" w:line="300"/>
      </w:pPr>
      <w:r>
        <w:rPr>
          <w:rFonts w:ascii="Calibri" w:cs="Calibri" w:eastAsia="Calibri" w:hAnsi="Calibri"/>
          <w:color w:val="28251D"/>
          <w:sz w:val="22"/>
          <w:szCs w:val="22"/>
        </w:rPr>
        <w:t xml:space="preserve">Valeur ajoutée créée et emplois directs générés.</w:t>
      </w:r>
    </w:p>
    <w:p>
      <w:pPr>
        <w:pStyle w:val="Heading2"/>
        <w:spacing w:after="160" w:before="320"/>
      </w:pPr>
      <w:r>
        <w:rPr>
          <w:rFonts w:ascii="Calibri" w:cs="Calibri" w:eastAsia="Calibri" w:hAnsi="Calibri"/>
          <w:b/>
          <w:bCs/>
          <w:color w:val="0C4E54"/>
          <w:sz w:val="30"/>
          <w:szCs w:val="30"/>
        </w:rPr>
        <w:t xml:space="preserve">13.4 Ratios financiers attendus par les banques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3160"/>
      </w:tblGrid>
      <w:tr>
        <w:trPr>
          <w:tblHeader/>
        </w:trPr>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Ratio</w:t>
            </w:r>
          </w:p>
        </w:tc>
        <w:tc>
          <w:tcPr>
            <w:tcW w:type="dxa" w:w="3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Définition</w:t>
            </w:r>
          </w:p>
        </w:tc>
        <w:tc>
          <w:tcPr>
            <w:tcW w:type="dxa" w:w="31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Seuil acceptable PME</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d’autofinancement</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Apport propre / Coût total</w:t>
            </w:r>
          </w:p>
        </w:tc>
        <w:tc>
          <w:tcPr>
            <w:tcW w:type="dxa" w:w="3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10 à 30 % selon dispositif</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Ratio fonds propres / total bilan</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propres / Total bilan</w:t>
            </w:r>
          </w:p>
        </w:tc>
        <w:tc>
          <w:tcPr>
            <w:tcW w:type="dxa" w:w="3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25 %</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Ratio d’endettement</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Dettes financières / Fonds propres</w:t>
            </w:r>
          </w:p>
        </w:tc>
        <w:tc>
          <w:tcPr>
            <w:tcW w:type="dxa" w:w="3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200 %</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DSCR (couverture du service de la dette)</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EBITDA / (remboursement + intérêts annuels)</w:t>
            </w:r>
          </w:p>
        </w:tc>
        <w:tc>
          <w:tcPr>
            <w:tcW w:type="dxa" w:w="3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1,2 à 1,5</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Ratio de liquidité générale</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Actif circulant / Passif circulant</w:t>
            </w:r>
          </w:p>
        </w:tc>
        <w:tc>
          <w:tcPr>
            <w:tcW w:type="dxa" w:w="3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1,2</w:t>
            </w:r>
          </w:p>
        </w:tc>
      </w:tr>
      <w:tr>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Délai de récupération</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Investissement net / Cash-flow annuel moyen</w:t>
            </w:r>
          </w:p>
        </w:tc>
        <w:tc>
          <w:tcPr>
            <w:tcW w:type="dxa" w:w="31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7 à 8 ans</w:t>
            </w:r>
          </w:p>
        </w:tc>
      </w:tr>
      <w:tr>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TRI</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de rentabilité interne</w:t>
            </w:r>
          </w:p>
        </w:tc>
        <w:tc>
          <w:tcPr>
            <w:tcW w:type="dxa" w:w="31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taux d’intérêt pratiqué</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13.5 Les garanties usuelles</w:t>
      </w:r>
    </w:p>
    <w:p>
      <w:pPr>
        <w:spacing w:after="140" w:line="320"/>
        <w:jc w:val="both"/>
      </w:pPr>
      <w:r>
        <w:rPr>
          <w:rFonts w:ascii="Calibri" w:cs="Calibri" w:eastAsia="Calibri" w:hAnsi="Calibri"/>
          <w:color w:val="28251D"/>
          <w:sz w:val="22"/>
          <w:szCs w:val="22"/>
        </w:rPr>
        <w:t xml:space="preserve">Classées par ordre de préférence des banques tunisiennes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Type de garantie</w:t>
            </w:r>
          </w:p>
        </w:tc>
        <w:tc>
          <w:tcPr>
            <w:tcW w:type="dxa" w:w="32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Description</w:t>
            </w:r>
          </w:p>
        </w:tc>
        <w:tc>
          <w:tcPr>
            <w:tcW w:type="dxa" w:w="33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Impact</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Hypothèque de 1er rang</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Sur bien immobilier du promoteur</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Très forte, améliore les conditions</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Nantissement fonds de commerce</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Sur le fonds de commerce</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Forte</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Nantissement de matériel</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Sur les équipements financés</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Moyenne (valeur réalisation faible)</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SOTUGAR</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Garantie institutionnelle 50 à 75 %</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Forte, remplace garanties réelles</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Caution personnelle promoteur</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Engagement personnel</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Toujours exigée</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Caution conjointe et solidaire</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Caution d’un tiers</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Complémentaire</w:t>
            </w:r>
          </w:p>
        </w:tc>
      </w:tr>
      <w:tr>
        <w:tc>
          <w:tcPr>
            <w:tcW w:type="dxa" w:w="2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Assurance-décès invalidité</w:t>
            </w:r>
          </w:p>
        </w:tc>
        <w:tc>
          <w:tcPr>
            <w:tcW w:type="dxa" w:w="32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Sur la tête du promoteur</w:t>
            </w:r>
          </w:p>
        </w:tc>
        <w:tc>
          <w:tcPr>
            <w:tcW w:type="dxa" w:w="33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Exigée sur crédits LT</w:t>
            </w:r>
          </w:p>
        </w:tc>
      </w:tr>
      <w:tr>
        <w:tc>
          <w:tcPr>
            <w:tcW w:type="dxa" w:w="2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Nantissement de parts sociales</w:t>
            </w:r>
          </w:p>
        </w:tc>
        <w:tc>
          <w:tcPr>
            <w:tcW w:type="dxa" w:w="32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Parts de la société financée</w:t>
            </w:r>
          </w:p>
        </w:tc>
        <w:tc>
          <w:tcPr>
            <w:tcW w:type="dxa" w:w="33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Complémentaire</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1696F" w:sz="16"/>
              <w:left w:val="single" w:color="01696F" w:sz="24"/>
              <w:bottom w:val="single" w:color="D4D1CA" w:sz="4"/>
              <w:right w:val="single" w:color="D4D1CA" w:sz="4"/>
            </w:tcBorders>
            <w:shd w:fill="E5EEEE" w:val="clear"/>
            <w:tcMar>
              <w:top w:type="dxa" w:w="160"/>
              <w:left w:type="dxa" w:w="220"/>
              <w:bottom w:type="dxa" w:w="160"/>
              <w:right w:type="dxa" w:w="220"/>
            </w:tcMar>
          </w:tcPr>
          <w:p>
            <w:pPr>
              <w:spacing w:after="80"/>
            </w:pPr>
            <w:r>
              <w:rPr>
                <w:rFonts w:ascii="Calibri" w:cs="Calibri" w:eastAsia="Calibri" w:hAnsi="Calibri"/>
                <w:b/>
                <w:bCs/>
                <w:color w:val="0C4E54"/>
                <w:sz w:val="22"/>
                <w:szCs w:val="22"/>
              </w:rPr>
              <w:t xml:space="preserve">Astuce BFPME</w:t>
            </w:r>
          </w:p>
          <w:p>
            <w:r>
              <w:rPr>
                <w:rFonts w:ascii="Calibri" w:cs="Calibri" w:eastAsia="Calibri" w:hAnsi="Calibri"/>
                <w:sz w:val="20"/>
                <w:szCs w:val="20"/>
              </w:rPr>
              <w:t xml:space="preserve">La BFPME n’exige généralement pas de garanties réelles externes au projet. Elle se contente des composantes intrinsèques (hypothèque sur bâtiment du projet, nantissement des équipements) complétées par la garantie SOTUGAR. C’est un avantage majeur pour les promoteurs ne disposant pas de patrimoine personnel à mettre en garantie.</w:t>
            </w:r>
          </w:p>
        </w:tc>
      </w:tr>
    </w:tbl>
    <w:p>
      <w:pPr>
        <w:pStyle w:val="Heading2"/>
        <w:spacing w:after="160" w:before="320"/>
      </w:pPr>
      <w:r>
        <w:rPr>
          <w:rFonts w:ascii="Calibri" w:cs="Calibri" w:eastAsia="Calibri" w:hAnsi="Calibri"/>
          <w:b/>
          <w:bCs/>
          <w:color w:val="0C4E54"/>
          <w:sz w:val="30"/>
          <w:szCs w:val="30"/>
        </w:rPr>
        <w:t xml:space="preserve">13.6 Check-list documentaire — Dossier BFPME type</w:t>
      </w:r>
    </w:p>
    <w:p>
      <w:pPr>
        <w:pStyle w:val="Heading3"/>
        <w:spacing w:after="120" w:before="240"/>
      </w:pPr>
      <w:r>
        <w:rPr>
          <w:rFonts w:ascii="Calibri" w:cs="Calibri" w:eastAsia="Calibri" w:hAnsi="Calibri"/>
          <w:b/>
          <w:bCs/>
          <w:color w:val="28251D"/>
          <w:sz w:val="24"/>
          <w:szCs w:val="24"/>
        </w:rPr>
        <w:t xml:space="preserve">Documents promoteur</w:t>
      </w:r>
    </w:p>
    <w:p>
      <w:pPr>
        <w:pStyle w:val="ListParagraph"/>
        <w:numPr>
          <w:ilvl w:val="0"/>
          <w:numId w:val="2"/>
        </w:numPr>
        <w:spacing w:after="80" w:line="300"/>
      </w:pPr>
      <w:r>
        <w:rPr>
          <w:rFonts w:ascii="Calibri" w:cs="Calibri" w:eastAsia="Calibri" w:hAnsi="Calibri"/>
          <w:color w:val="28251D"/>
          <w:sz w:val="22"/>
          <w:szCs w:val="22"/>
        </w:rPr>
        <w:t xml:space="preserve">Copie de la CIN.</w:t>
      </w:r>
    </w:p>
    <w:p>
      <w:pPr>
        <w:pStyle w:val="ListParagraph"/>
        <w:numPr>
          <w:ilvl w:val="0"/>
          <w:numId w:val="2"/>
        </w:numPr>
        <w:spacing w:after="80" w:line="300"/>
      </w:pPr>
      <w:r>
        <w:rPr>
          <w:rFonts w:ascii="Calibri" w:cs="Calibri" w:eastAsia="Calibri" w:hAnsi="Calibri"/>
          <w:color w:val="28251D"/>
          <w:sz w:val="22"/>
          <w:szCs w:val="22"/>
        </w:rPr>
        <w:t xml:space="preserve">CV détaillé.</w:t>
      </w:r>
    </w:p>
    <w:p>
      <w:pPr>
        <w:pStyle w:val="ListParagraph"/>
        <w:numPr>
          <w:ilvl w:val="0"/>
          <w:numId w:val="2"/>
        </w:numPr>
        <w:spacing w:after="80" w:line="300"/>
      </w:pPr>
      <w:r>
        <w:rPr>
          <w:rFonts w:ascii="Calibri" w:cs="Calibri" w:eastAsia="Calibri" w:hAnsi="Calibri"/>
          <w:color w:val="28251D"/>
          <w:sz w:val="22"/>
          <w:szCs w:val="22"/>
        </w:rPr>
        <w:t xml:space="preserve">Copies des diplômes et / ou attestations de travail.</w:t>
      </w:r>
    </w:p>
    <w:p>
      <w:pPr>
        <w:pStyle w:val="ListParagraph"/>
        <w:numPr>
          <w:ilvl w:val="0"/>
          <w:numId w:val="2"/>
        </w:numPr>
        <w:spacing w:after="80" w:line="300"/>
      </w:pPr>
      <w:r>
        <w:rPr>
          <w:rFonts w:ascii="Calibri" w:cs="Calibri" w:eastAsia="Calibri" w:hAnsi="Calibri"/>
          <w:color w:val="28251D"/>
          <w:sz w:val="22"/>
          <w:szCs w:val="22"/>
        </w:rPr>
        <w:t xml:space="preserve">Extrait de casier judiciaire.</w:t>
      </w:r>
    </w:p>
    <w:p>
      <w:pPr>
        <w:pStyle w:val="Heading3"/>
        <w:spacing w:after="120" w:before="240"/>
      </w:pPr>
      <w:r>
        <w:rPr>
          <w:rFonts w:ascii="Calibri" w:cs="Calibri" w:eastAsia="Calibri" w:hAnsi="Calibri"/>
          <w:b/>
          <w:bCs/>
          <w:color w:val="28251D"/>
          <w:sz w:val="24"/>
          <w:szCs w:val="24"/>
        </w:rPr>
        <w:t xml:space="preserve">Documents projet</w:t>
      </w:r>
    </w:p>
    <w:p>
      <w:pPr>
        <w:pStyle w:val="ListParagraph"/>
        <w:numPr>
          <w:ilvl w:val="0"/>
          <w:numId w:val="2"/>
        </w:numPr>
        <w:spacing w:after="80" w:line="300"/>
      </w:pPr>
      <w:r>
        <w:rPr>
          <w:rFonts w:ascii="Calibri" w:cs="Calibri" w:eastAsia="Calibri" w:hAnsi="Calibri"/>
          <w:color w:val="28251D"/>
          <w:sz w:val="22"/>
          <w:szCs w:val="22"/>
        </w:rPr>
        <w:t xml:space="preserve">Plan d’affaires complet (modèle BFPME-GIZ disponible sur bfpme.com.tn).</w:t>
      </w:r>
    </w:p>
    <w:p>
      <w:pPr>
        <w:pStyle w:val="ListParagraph"/>
        <w:numPr>
          <w:ilvl w:val="0"/>
          <w:numId w:val="2"/>
        </w:numPr>
        <w:spacing w:after="80" w:line="300"/>
      </w:pPr>
      <w:r>
        <w:rPr>
          <w:rFonts w:ascii="Calibri" w:cs="Calibri" w:eastAsia="Calibri" w:hAnsi="Calibri"/>
          <w:color w:val="28251D"/>
          <w:sz w:val="22"/>
          <w:szCs w:val="22"/>
        </w:rPr>
        <w:t xml:space="preserve">Répartition détaillée du capital social.</w:t>
      </w:r>
    </w:p>
    <w:p>
      <w:pPr>
        <w:pStyle w:val="ListParagraph"/>
        <w:numPr>
          <w:ilvl w:val="0"/>
          <w:numId w:val="2"/>
        </w:numPr>
        <w:spacing w:after="80" w:line="300"/>
      </w:pPr>
      <w:r>
        <w:rPr>
          <w:rFonts w:ascii="Calibri" w:cs="Calibri" w:eastAsia="Calibri" w:hAnsi="Calibri"/>
          <w:color w:val="28251D"/>
          <w:sz w:val="22"/>
          <w:szCs w:val="22"/>
        </w:rPr>
        <w:t xml:space="preserve">Devis et factures pro forma pour tous les postes d’investissement.</w:t>
      </w:r>
    </w:p>
    <w:p>
      <w:pPr>
        <w:pStyle w:val="ListParagraph"/>
        <w:numPr>
          <w:ilvl w:val="0"/>
          <w:numId w:val="2"/>
        </w:numPr>
        <w:spacing w:after="80" w:line="300"/>
      </w:pPr>
      <w:r>
        <w:rPr>
          <w:rFonts w:ascii="Calibri" w:cs="Calibri" w:eastAsia="Calibri" w:hAnsi="Calibri"/>
          <w:color w:val="28251D"/>
          <w:sz w:val="22"/>
          <w:szCs w:val="22"/>
        </w:rPr>
        <w:t xml:space="preserve">Déclaration APII ou APIA.</w:t>
      </w:r>
    </w:p>
    <w:p>
      <w:pPr>
        <w:pStyle w:val="ListParagraph"/>
        <w:numPr>
          <w:ilvl w:val="0"/>
          <w:numId w:val="2"/>
        </w:numPr>
        <w:spacing w:after="80" w:line="300"/>
      </w:pPr>
      <w:r>
        <w:rPr>
          <w:rFonts w:ascii="Calibri" w:cs="Calibri" w:eastAsia="Calibri" w:hAnsi="Calibri"/>
          <w:color w:val="28251D"/>
          <w:sz w:val="22"/>
          <w:szCs w:val="22"/>
        </w:rPr>
        <w:t xml:space="preserve">Autorisations sectorielles (le cas échéant).</w:t>
      </w:r>
    </w:p>
    <w:p>
      <w:pPr>
        <w:pStyle w:val="ListParagraph"/>
        <w:numPr>
          <w:ilvl w:val="0"/>
          <w:numId w:val="2"/>
        </w:numPr>
        <w:spacing w:after="80" w:line="300"/>
      </w:pPr>
      <w:r>
        <w:rPr>
          <w:rFonts w:ascii="Calibri" w:cs="Calibri" w:eastAsia="Calibri" w:hAnsi="Calibri"/>
          <w:color w:val="28251D"/>
          <w:sz w:val="22"/>
          <w:szCs w:val="22"/>
        </w:rPr>
        <w:t xml:space="preserve">Décharges de dépôt auprès des autres bailleurs de fonds.</w:t>
      </w:r>
    </w:p>
    <w:p>
      <w:pPr>
        <w:pStyle w:val="Heading3"/>
        <w:spacing w:after="120" w:before="240"/>
      </w:pPr>
      <w:r>
        <w:rPr>
          <w:rFonts w:ascii="Calibri" w:cs="Calibri" w:eastAsia="Calibri" w:hAnsi="Calibri"/>
          <w:b/>
          <w:bCs/>
          <w:color w:val="28251D"/>
          <w:sz w:val="24"/>
          <w:szCs w:val="24"/>
        </w:rPr>
        <w:t xml:space="preserve">Documents société (si déjà constituée)</w:t>
      </w:r>
    </w:p>
    <w:p>
      <w:pPr>
        <w:pStyle w:val="ListParagraph"/>
        <w:numPr>
          <w:ilvl w:val="0"/>
          <w:numId w:val="2"/>
        </w:numPr>
        <w:spacing w:after="80" w:line="300"/>
      </w:pPr>
      <w:r>
        <w:rPr>
          <w:rFonts w:ascii="Calibri" w:cs="Calibri" w:eastAsia="Calibri" w:hAnsi="Calibri"/>
          <w:color w:val="28251D"/>
          <w:sz w:val="22"/>
          <w:szCs w:val="22"/>
        </w:rPr>
        <w:t xml:space="preserve">Statuts de la société.</w:t>
      </w:r>
    </w:p>
    <w:p>
      <w:pPr>
        <w:pStyle w:val="ListParagraph"/>
        <w:numPr>
          <w:ilvl w:val="0"/>
          <w:numId w:val="2"/>
        </w:numPr>
        <w:spacing w:after="80" w:line="300"/>
      </w:pPr>
      <w:r>
        <w:rPr>
          <w:rFonts w:ascii="Calibri" w:cs="Calibri" w:eastAsia="Calibri" w:hAnsi="Calibri"/>
          <w:color w:val="28251D"/>
          <w:sz w:val="22"/>
          <w:szCs w:val="22"/>
        </w:rPr>
        <w:t xml:space="preserve">Extrait RNE (Registre National des Entreprises).</w:t>
      </w:r>
    </w:p>
    <w:p>
      <w:pPr>
        <w:pStyle w:val="ListParagraph"/>
        <w:numPr>
          <w:ilvl w:val="0"/>
          <w:numId w:val="2"/>
        </w:numPr>
        <w:spacing w:after="80" w:line="300"/>
      </w:pPr>
      <w:r>
        <w:rPr>
          <w:rFonts w:ascii="Calibri" w:cs="Calibri" w:eastAsia="Calibri" w:hAnsi="Calibri"/>
          <w:color w:val="28251D"/>
          <w:sz w:val="22"/>
          <w:szCs w:val="22"/>
        </w:rPr>
        <w:t xml:space="preserve">Bilans des 3 derniers exercices (en cas d’extension).</w:t>
      </w:r>
    </w:p>
    <w:p>
      <w:pPr>
        <w:pStyle w:val="ListParagraph"/>
        <w:numPr>
          <w:ilvl w:val="0"/>
          <w:numId w:val="2"/>
        </w:numPr>
        <w:spacing w:after="80" w:line="300"/>
      </w:pPr>
      <w:r>
        <w:rPr>
          <w:rFonts w:ascii="Calibri" w:cs="Calibri" w:eastAsia="Calibri" w:hAnsi="Calibri"/>
          <w:color w:val="28251D"/>
          <w:sz w:val="22"/>
          <w:szCs w:val="22"/>
        </w:rPr>
        <w:t xml:space="preserve">Relevés bancaires des 12 derniers mois (en cas d’extension).</w:t>
      </w:r>
    </w:p>
    <w:p>
      <w:pPr>
        <w:pStyle w:val="Heading2"/>
        <w:spacing w:after="160" w:before="320"/>
      </w:pPr>
      <w:r>
        <w:rPr>
          <w:rFonts w:ascii="Calibri" w:cs="Calibri" w:eastAsia="Calibri" w:hAnsi="Calibri"/>
          <w:b/>
          <w:bCs/>
          <w:color w:val="0C4E54"/>
          <w:sz w:val="30"/>
          <w:szCs w:val="30"/>
        </w:rPr>
        <w:t xml:space="preserve">13.7 Les dix erreurs courantes à éviter</w:t>
      </w:r>
    </w:p>
    <w:p>
      <w:pPr>
        <w:pStyle w:val="ListParagraph"/>
        <w:numPr>
          <w:ilvl w:val="0"/>
          <w:numId w:val="9"/>
        </w:numPr>
        <w:spacing w:after="100" w:line="300"/>
      </w:pPr>
      <w:r>
        <w:rPr>
          <w:rFonts w:ascii="Calibri" w:cs="Calibri" w:eastAsia="Calibri" w:hAnsi="Calibri"/>
          <w:color w:val="28251D"/>
          <w:sz w:val="22"/>
          <w:szCs w:val="22"/>
        </w:rPr>
        <w:t xml:space="preserve">Sous-estimer le besoin en fonds de roulement (BFR) — premier facteur d’échec en phase de démarrage.</w:t>
      </w:r>
    </w:p>
    <w:p>
      <w:pPr>
        <w:pStyle w:val="ListParagraph"/>
        <w:numPr>
          <w:ilvl w:val="0"/>
          <w:numId w:val="9"/>
        </w:numPr>
        <w:spacing w:after="100" w:line="300"/>
      </w:pPr>
      <w:r>
        <w:rPr>
          <w:rFonts w:ascii="Calibri" w:cs="Calibri" w:eastAsia="Calibri" w:hAnsi="Calibri"/>
          <w:color w:val="28251D"/>
          <w:sz w:val="22"/>
          <w:szCs w:val="22"/>
        </w:rPr>
        <w:t xml:space="preserve">Surestimer le chiffre d’affaires — préférer un scénario central réaliste + scénario pessimiste.</w:t>
      </w:r>
    </w:p>
    <w:p>
      <w:pPr>
        <w:pStyle w:val="ListParagraph"/>
        <w:numPr>
          <w:ilvl w:val="0"/>
          <w:numId w:val="9"/>
        </w:numPr>
        <w:spacing w:after="100" w:line="300"/>
      </w:pPr>
      <w:r>
        <w:rPr>
          <w:rFonts w:ascii="Calibri" w:cs="Calibri" w:eastAsia="Calibri" w:hAnsi="Calibri"/>
          <w:color w:val="28251D"/>
          <w:sz w:val="22"/>
          <w:szCs w:val="22"/>
        </w:rPr>
        <w:t xml:space="preserve">Ne pas prévoir de période de montée en puissance — l’activité ne démarre jamais à 100 % le premier mois.</w:t>
      </w:r>
    </w:p>
    <w:p>
      <w:pPr>
        <w:pStyle w:val="ListParagraph"/>
        <w:numPr>
          <w:ilvl w:val="0"/>
          <w:numId w:val="9"/>
        </w:numPr>
        <w:spacing w:after="100" w:line="300"/>
      </w:pPr>
      <w:r>
        <w:rPr>
          <w:rFonts w:ascii="Calibri" w:cs="Calibri" w:eastAsia="Calibri" w:hAnsi="Calibri"/>
          <w:color w:val="28251D"/>
          <w:sz w:val="22"/>
          <w:szCs w:val="22"/>
        </w:rPr>
        <w:t xml:space="preserve">Ignorer les charges fixes (loyer, salaires, charges sociales, assurances, amortissements).</w:t>
      </w:r>
    </w:p>
    <w:p>
      <w:pPr>
        <w:pStyle w:val="ListParagraph"/>
        <w:numPr>
          <w:ilvl w:val="0"/>
          <w:numId w:val="9"/>
        </w:numPr>
        <w:spacing w:after="100" w:line="300"/>
      </w:pPr>
      <w:r>
        <w:rPr>
          <w:rFonts w:ascii="Calibri" w:cs="Calibri" w:eastAsia="Calibri" w:hAnsi="Calibri"/>
          <w:color w:val="28251D"/>
          <w:sz w:val="22"/>
          <w:szCs w:val="22"/>
        </w:rPr>
        <w:t xml:space="preserve">Déposer un dossier incomplet — tout document manquant retarde l’instruction.</w:t>
      </w:r>
    </w:p>
    <w:p>
      <w:pPr>
        <w:pStyle w:val="ListParagraph"/>
        <w:numPr>
          <w:ilvl w:val="0"/>
          <w:numId w:val="9"/>
        </w:numPr>
        <w:spacing w:after="100" w:line="300"/>
      </w:pPr>
      <w:r>
        <w:rPr>
          <w:rFonts w:ascii="Calibri" w:cs="Calibri" w:eastAsia="Calibri" w:hAnsi="Calibri"/>
          <w:color w:val="28251D"/>
          <w:sz w:val="22"/>
          <w:szCs w:val="22"/>
        </w:rPr>
        <w:t xml:space="preserve">Oublier la déclaration APII ou APIA, pièce obligatoire pour beaucoup de dispositifs.</w:t>
      </w:r>
    </w:p>
    <w:p>
      <w:pPr>
        <w:pStyle w:val="ListParagraph"/>
        <w:numPr>
          <w:ilvl w:val="0"/>
          <w:numId w:val="9"/>
        </w:numPr>
        <w:spacing w:after="100" w:line="300"/>
      </w:pPr>
      <w:r>
        <w:rPr>
          <w:rFonts w:ascii="Calibri" w:cs="Calibri" w:eastAsia="Calibri" w:hAnsi="Calibri"/>
          <w:color w:val="28251D"/>
          <w:sz w:val="22"/>
          <w:szCs w:val="22"/>
        </w:rPr>
        <w:t xml:space="preserve">Ne pas solliciter SOTUGAR — beaucoup ignorent que cette garantie peut remplacer les garanties réelles.</w:t>
      </w:r>
    </w:p>
    <w:p>
      <w:pPr>
        <w:pStyle w:val="ListParagraph"/>
        <w:numPr>
          <w:ilvl w:val="0"/>
          <w:numId w:val="9"/>
        </w:numPr>
        <w:spacing w:after="100" w:line="300"/>
      </w:pPr>
      <w:r>
        <w:rPr>
          <w:rFonts w:ascii="Calibri" w:cs="Calibri" w:eastAsia="Calibri" w:hAnsi="Calibri"/>
          <w:color w:val="28251D"/>
          <w:sz w:val="22"/>
          <w:szCs w:val="22"/>
        </w:rPr>
        <w:t xml:space="preserve">Ignorer les dispositifs régionaux — primes jusqu’à 30 % dans les zones prioritaires.</w:t>
      </w:r>
    </w:p>
    <w:p>
      <w:pPr>
        <w:pStyle w:val="ListParagraph"/>
        <w:numPr>
          <w:ilvl w:val="0"/>
          <w:numId w:val="9"/>
        </w:numPr>
        <w:spacing w:after="100" w:line="300"/>
      </w:pPr>
      <w:r>
        <w:rPr>
          <w:rFonts w:ascii="Calibri" w:cs="Calibri" w:eastAsia="Calibri" w:hAnsi="Calibri"/>
          <w:color w:val="28251D"/>
          <w:sz w:val="22"/>
          <w:szCs w:val="22"/>
        </w:rPr>
        <w:t xml:space="preserve">Sous-capitalisation initiale — un apport personnel &lt; 10-15 % fragilise le dossier.</w:t>
      </w:r>
    </w:p>
    <w:p>
      <w:pPr>
        <w:pStyle w:val="ListParagraph"/>
        <w:numPr>
          <w:ilvl w:val="0"/>
          <w:numId w:val="9"/>
        </w:numPr>
        <w:spacing w:after="100" w:line="300"/>
      </w:pPr>
      <w:r>
        <w:rPr>
          <w:rFonts w:ascii="Calibri" w:cs="Calibri" w:eastAsia="Calibri" w:hAnsi="Calibri"/>
          <w:color w:val="28251D"/>
          <w:sz w:val="22"/>
          <w:szCs w:val="22"/>
        </w:rPr>
        <w:t xml:space="preserve">Oublier les primes étatiques dans le plan de financement — FOPRODI, FONAPRAM, primes régionales doivent toujours être intégrées.</w:t>
      </w:r>
    </w:p>
    <w:p>
      <w:pPr>
        <w:pStyle w:val="Heading2"/>
        <w:spacing w:after="160" w:before="320"/>
      </w:pPr>
      <w:r>
        <w:rPr>
          <w:rFonts w:ascii="Calibri" w:cs="Calibri" w:eastAsia="Calibri" w:hAnsi="Calibri"/>
          <w:b/>
          <w:bCs/>
          <w:color w:val="0C4E54"/>
          <w:sz w:val="30"/>
          <w:szCs w:val="30"/>
        </w:rPr>
        <w:t xml:space="preserve">13.8 Conseils de négociation avec les banques</w:t>
      </w:r>
    </w:p>
    <w:p>
      <w:pPr>
        <w:pStyle w:val="Heading3"/>
        <w:spacing w:after="120" w:before="240"/>
      </w:pPr>
      <w:r>
        <w:rPr>
          <w:rFonts w:ascii="Calibri" w:cs="Calibri" w:eastAsia="Calibri" w:hAnsi="Calibri"/>
          <w:b/>
          <w:bCs/>
          <w:color w:val="28251D"/>
          <w:sz w:val="24"/>
          <w:szCs w:val="24"/>
        </w:rPr>
        <w:t xml:space="preserve">Avant le rendez-vous</w:t>
      </w:r>
    </w:p>
    <w:p>
      <w:pPr>
        <w:pStyle w:val="ListParagraph"/>
        <w:numPr>
          <w:ilvl w:val="0"/>
          <w:numId w:val="2"/>
        </w:numPr>
        <w:spacing w:after="80" w:line="300"/>
      </w:pPr>
      <w:r>
        <w:rPr>
          <w:rFonts w:ascii="Calibri" w:cs="Calibri" w:eastAsia="Calibri" w:hAnsi="Calibri"/>
          <w:color w:val="28251D"/>
          <w:sz w:val="22"/>
          <w:szCs w:val="22"/>
        </w:rPr>
        <w:t xml:space="preserve">Préparer un executive summary de 1 à 2 pages : concept, marché, montants, garanties proposées.</w:t>
      </w:r>
    </w:p>
    <w:p>
      <w:pPr>
        <w:pStyle w:val="ListParagraph"/>
        <w:numPr>
          <w:ilvl w:val="0"/>
          <w:numId w:val="2"/>
        </w:numPr>
        <w:spacing w:after="80" w:line="300"/>
      </w:pPr>
      <w:r>
        <w:rPr>
          <w:rFonts w:ascii="Calibri" w:cs="Calibri" w:eastAsia="Calibri" w:hAnsi="Calibri"/>
          <w:color w:val="28251D"/>
          <w:sz w:val="22"/>
          <w:szCs w:val="22"/>
        </w:rPr>
        <w:t xml:space="preserve">Se renseigner sur les offres actuelles de la banque (taux TMM + marge en cours).</w:t>
      </w:r>
    </w:p>
    <w:p>
      <w:pPr>
        <w:pStyle w:val="ListParagraph"/>
        <w:numPr>
          <w:ilvl w:val="0"/>
          <w:numId w:val="2"/>
        </w:numPr>
        <w:spacing w:after="80" w:line="300"/>
      </w:pPr>
      <w:r>
        <w:rPr>
          <w:rFonts w:ascii="Calibri" w:cs="Calibri" w:eastAsia="Calibri" w:hAnsi="Calibri"/>
          <w:color w:val="28251D"/>
          <w:sz w:val="22"/>
          <w:szCs w:val="22"/>
        </w:rPr>
        <w:t xml:space="preserve">Préparer des questions précises sur le taux, la période de grâce et les commissions.</w:t>
      </w:r>
    </w:p>
    <w:p>
      <w:pPr>
        <w:pStyle w:val="Heading3"/>
        <w:spacing w:after="120" w:before="240"/>
      </w:pPr>
      <w:r>
        <w:rPr>
          <w:rFonts w:ascii="Calibri" w:cs="Calibri" w:eastAsia="Calibri" w:hAnsi="Calibri"/>
          <w:b/>
          <w:bCs/>
          <w:color w:val="28251D"/>
          <w:sz w:val="24"/>
          <w:szCs w:val="24"/>
        </w:rPr>
        <w:t xml:space="preserve">Pendant la négociation</w:t>
      </w:r>
    </w:p>
    <w:p>
      <w:pPr>
        <w:pStyle w:val="ListParagraph"/>
        <w:numPr>
          <w:ilvl w:val="0"/>
          <w:numId w:val="2"/>
        </w:numPr>
        <w:spacing w:after="80" w:line="300"/>
      </w:pPr>
      <w:r>
        <w:rPr>
          <w:rFonts w:ascii="Calibri" w:cs="Calibri" w:eastAsia="Calibri" w:hAnsi="Calibri"/>
          <w:b/>
          <w:bCs/>
          <w:sz w:val="22"/>
          <w:szCs w:val="22"/>
        </w:rPr>
        <w:t xml:space="preserve">Sur le taux : </w:t>
      </w:r>
      <w:r>
        <w:rPr>
          <w:rFonts w:ascii="Calibri" w:cs="Calibri" w:eastAsia="Calibri" w:hAnsi="Calibri"/>
          <w:sz w:val="22"/>
          <w:szCs w:val="22"/>
        </w:rPr>
        <w:t xml:space="preserve">négociable en fonction de la qualité du dossier, de la relation bancaire existante et de la nature des ressources utilisées.</w:t>
      </w:r>
    </w:p>
    <w:p>
      <w:pPr>
        <w:pStyle w:val="ListParagraph"/>
        <w:numPr>
          <w:ilvl w:val="0"/>
          <w:numId w:val="2"/>
        </w:numPr>
        <w:spacing w:after="80" w:line="300"/>
      </w:pPr>
      <w:r>
        <w:rPr>
          <w:rFonts w:ascii="Calibri" w:cs="Calibri" w:eastAsia="Calibri" w:hAnsi="Calibri"/>
          <w:b/>
          <w:bCs/>
          <w:sz w:val="22"/>
          <w:szCs w:val="22"/>
        </w:rPr>
        <w:t xml:space="preserve">Sur la période de grâce : </w:t>
      </w:r>
      <w:r>
        <w:rPr>
          <w:rFonts w:ascii="Calibri" w:cs="Calibri" w:eastAsia="Calibri" w:hAnsi="Calibri"/>
          <w:sz w:val="22"/>
          <w:szCs w:val="22"/>
        </w:rPr>
        <w:t xml:space="preserve">essentielle pour les projets à montée en puissance lente. À demander systématiquement (6 mois à 3 ans selon secteur).</w:t>
      </w:r>
    </w:p>
    <w:p>
      <w:pPr>
        <w:pStyle w:val="ListParagraph"/>
        <w:numPr>
          <w:ilvl w:val="0"/>
          <w:numId w:val="2"/>
        </w:numPr>
        <w:spacing w:after="80" w:line="300"/>
      </w:pPr>
      <w:r>
        <w:rPr>
          <w:rFonts w:ascii="Calibri" w:cs="Calibri" w:eastAsia="Calibri" w:hAnsi="Calibri"/>
          <w:b/>
          <w:bCs/>
          <w:sz w:val="22"/>
          <w:szCs w:val="22"/>
        </w:rPr>
        <w:t xml:space="preserve">Sur les commissions : </w:t>
      </w:r>
      <w:r>
        <w:rPr>
          <w:rFonts w:ascii="Calibri" w:cs="Calibri" w:eastAsia="Calibri" w:hAnsi="Calibri"/>
          <w:sz w:val="22"/>
          <w:szCs w:val="22"/>
        </w:rPr>
        <w:t xml:space="preserve">commission d’étude (1 à 2 %), commission d’engagement, commission de gestion — certaines sont négociables.</w:t>
      </w:r>
    </w:p>
    <w:p>
      <w:pPr>
        <w:pStyle w:val="ListParagraph"/>
        <w:numPr>
          <w:ilvl w:val="0"/>
          <w:numId w:val="2"/>
        </w:numPr>
        <w:spacing w:after="80" w:line="300"/>
      </w:pPr>
      <w:r>
        <w:rPr>
          <w:rFonts w:ascii="Calibri" w:cs="Calibri" w:eastAsia="Calibri" w:hAnsi="Calibri"/>
          <w:b/>
          <w:bCs/>
          <w:sz w:val="22"/>
          <w:szCs w:val="22"/>
        </w:rPr>
        <w:t xml:space="preserve">Sur les garanties : </w:t>
      </w:r>
      <w:r>
        <w:rPr>
          <w:rFonts w:ascii="Calibri" w:cs="Calibri" w:eastAsia="Calibri" w:hAnsi="Calibri"/>
          <w:sz w:val="22"/>
          <w:szCs w:val="22"/>
        </w:rPr>
        <w:t xml:space="preserve">proposer la garantie SOTUGAR comme alternative aux garanties réelles si le projet est éligible.</w:t>
      </w:r>
    </w:p>
    <w:p>
      <w:pPr>
        <w:pStyle w:val="ListParagraph"/>
        <w:numPr>
          <w:ilvl w:val="0"/>
          <w:numId w:val="2"/>
        </w:numPr>
        <w:spacing w:after="80" w:line="300"/>
      </w:pPr>
      <w:r>
        <w:rPr>
          <w:rFonts w:ascii="Calibri" w:cs="Calibri" w:eastAsia="Calibri" w:hAnsi="Calibri"/>
          <w:b/>
          <w:bCs/>
          <w:sz w:val="22"/>
          <w:szCs w:val="22"/>
        </w:rPr>
        <w:t xml:space="preserve">Sur le calendrier de remboursement : </w:t>
      </w:r>
      <w:r>
        <w:rPr>
          <w:rFonts w:ascii="Calibri" w:cs="Calibri" w:eastAsia="Calibri" w:hAnsi="Calibri"/>
          <w:sz w:val="22"/>
          <w:szCs w:val="22"/>
        </w:rPr>
        <w:t xml:space="preserve">adapter l’échéancier aux flux de trésorerie prévisionnels.</w:t>
      </w:r>
    </w:p>
    <w:p>
      <w:pPr>
        <w:pStyle w:val="Heading3"/>
        <w:spacing w:after="120" w:before="240"/>
      </w:pPr>
      <w:r>
        <w:rPr>
          <w:rFonts w:ascii="Calibri" w:cs="Calibri" w:eastAsia="Calibri" w:hAnsi="Calibri"/>
          <w:b/>
          <w:bCs/>
          <w:color w:val="28251D"/>
          <w:sz w:val="24"/>
          <w:szCs w:val="24"/>
        </w:rPr>
        <w:t xml:space="preserve">Après l’accord</w:t>
      </w:r>
    </w:p>
    <w:p>
      <w:pPr>
        <w:pStyle w:val="ListParagraph"/>
        <w:numPr>
          <w:ilvl w:val="0"/>
          <w:numId w:val="2"/>
        </w:numPr>
        <w:spacing w:after="80" w:line="300"/>
      </w:pPr>
      <w:r>
        <w:rPr>
          <w:rFonts w:ascii="Calibri" w:cs="Calibri" w:eastAsia="Calibri" w:hAnsi="Calibri"/>
          <w:color w:val="28251D"/>
          <w:sz w:val="22"/>
          <w:szCs w:val="22"/>
        </w:rPr>
        <w:t xml:space="preserve">Lire attentivement la convention de crédit (TEG, commissions, clauses de remboursement anticipé).</w:t>
      </w:r>
    </w:p>
    <w:p>
      <w:pPr>
        <w:pStyle w:val="ListParagraph"/>
        <w:numPr>
          <w:ilvl w:val="0"/>
          <w:numId w:val="2"/>
        </w:numPr>
        <w:spacing w:after="80" w:line="300"/>
      </w:pPr>
      <w:r>
        <w:rPr>
          <w:rFonts w:ascii="Calibri" w:cs="Calibri" w:eastAsia="Calibri" w:hAnsi="Calibri"/>
          <w:color w:val="28251D"/>
          <w:sz w:val="22"/>
          <w:szCs w:val="22"/>
        </w:rPr>
        <w:t xml:space="preserve">Conserver toutes les pièces du dossier en double.</w:t>
      </w:r>
    </w:p>
    <w:p>
      <w:pPr>
        <w:pStyle w:val="ListParagraph"/>
        <w:numPr>
          <w:ilvl w:val="0"/>
          <w:numId w:val="2"/>
        </w:numPr>
        <w:spacing w:after="80" w:line="300"/>
      </w:pPr>
      <w:r>
        <w:rPr>
          <w:rFonts w:ascii="Calibri" w:cs="Calibri" w:eastAsia="Calibri" w:hAnsi="Calibri"/>
          <w:color w:val="28251D"/>
          <w:sz w:val="22"/>
          <w:szCs w:val="22"/>
        </w:rPr>
        <w:t xml:space="preserve">Déclarer l’investissement à l’APII ou APIA avant le démarrage des travaux pour bénéficier des avantages.</w:t>
      </w:r>
    </w:p>
    <w:p>
      <w:pPr>
        <w:pStyle w:val="Heading1"/>
        <w:pageBreakBefore/>
        <w:spacing w:after="240" w:before="480"/>
      </w:pPr>
      <w:r>
        <w:rPr>
          <w:rFonts w:ascii="Calibri" w:cs="Calibri" w:eastAsia="Calibri" w:hAnsi="Calibri"/>
          <w:b/>
          <w:bCs/>
          <w:color w:val="01696F"/>
          <w:sz w:val="40"/>
          <w:szCs w:val="40"/>
        </w:rPr>
        <w:t xml:space="preserve">Chapitre 14 — Tableau de bord synthétique des dispositifs</w:t>
      </w:r>
    </w:p>
    <w:p>
      <w:pPr>
        <w:spacing w:after="140" w:line="320"/>
        <w:jc w:val="both"/>
      </w:pPr>
      <w:r>
        <w:rPr>
          <w:rFonts w:ascii="Calibri" w:cs="Calibri" w:eastAsia="Calibri" w:hAnsi="Calibri"/>
          <w:color w:val="28251D"/>
          <w:sz w:val="22"/>
          <w:szCs w:val="22"/>
        </w:rPr>
        <w:t xml:space="preserve">Ce tableau récapitulatif résume les principaux dispositifs de financement présentés dans ce livre blanc. Il constitue un outil de référence rapide pour orienter votre démarche.</w:t>
      </w:r>
    </w:p>
    <w:p>
      <w:pPr>
        <w:spacing w:after="12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800"/>
        <w:gridCol w:w="2000"/>
        <w:gridCol w:w="1660"/>
        <w:gridCol w:w="2000"/>
      </w:tblGrid>
      <w:tr>
        <w:trPr>
          <w:tblHeader/>
        </w:trPr>
        <w:tc>
          <w:tcPr>
            <w:tcW w:type="dxa" w:w="19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Dispositif</w:t>
            </w:r>
          </w:p>
        </w:tc>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Gestionnaire</w:t>
            </w:r>
          </w:p>
        </w:tc>
        <w:tc>
          <w:tcPr>
            <w:tcW w:type="dxa" w:w="2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Montant</w:t>
            </w:r>
          </w:p>
        </w:tc>
        <w:tc>
          <w:tcPr>
            <w:tcW w:type="dxa" w:w="16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Taux / Coût</w:t>
            </w:r>
          </w:p>
        </w:tc>
        <w:tc>
          <w:tcPr>
            <w:tcW w:type="dxa" w:w="2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Public cible</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FONAPRAM</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 + banques</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10 000 à 500 000 DT</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4 à 8 %</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Artisans, petits métiers</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 Crédit Pro</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 Bank</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200 000 DT</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Fixe avantageux</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Personnes physiques</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 CMLT</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100 000 DT à 2,5 MDT</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TMM + 2 % à + 4 %</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création / extension</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 Intilak 2</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200 à 300 000 DT</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Participatif</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ayant un CMLT BFPME</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FOPRODI participation</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APII / banques</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&lt; 60 % capital, max 2 MDT</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à 3 % / an nominal</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Nouveaux promoteurs industrie</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FOPRODI dotation</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Banques conventionnées</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1 MDT</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3 % / an</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Nouveaux promoteurs</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 Tamweel</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 Tamweel SA</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40 000 DT</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 20 % TEG</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Micro-entrepreneurs</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Taysir Microfinance</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Taysir SA</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40 000 DT</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Selon profil</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Micro-entrepreneurs</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SOTUGAR</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SOTUGAR</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50 à 75 % du crédit</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0,6 % / an</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via banques</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Ligne BEI</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BCT → banques</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Selon projet</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Fixe long terme</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toutes tailles</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ANAVA / Smart Capital</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Smart Capital</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VC (€)</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Equity</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tech</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Act VRR</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ANETI</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1 000 à 5 000 DT / mois</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Subvention</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Fondateurs labellisés</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 régionales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Gestionnaires privés</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Variable</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Equity</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régionales</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 Capital</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 Capital VC</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100 à 250 K€</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Equity</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tech Tunisie</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Carthage Business Angels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CBA</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10 à 200 K€</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Equity + mentorat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amorçage</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Flat6Labs Seed</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Flat6Labs</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Cash + services</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Equity (4 mois)</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Startups tech</w:t>
            </w:r>
          </w:p>
        </w:tc>
      </w:tr>
      <w:tr>
        <w:tc>
          <w:tcPr>
            <w:tcW w:type="dxa" w:w="19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 Invest for Jobs</w:t>
            </w:r>
          </w:p>
        </w:tc>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 / BMZ</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Subvention</w:t>
            </w:r>
          </w:p>
        </w:tc>
        <w:tc>
          <w:tcPr>
            <w:tcW w:type="dxa" w:w="16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Co-financement</w:t>
            </w:r>
          </w:p>
        </w:tc>
        <w:tc>
          <w:tcPr>
            <w:tcW w:type="dxa" w:w="2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Entreprises créatrices d’emplois</w:t>
            </w:r>
          </w:p>
        </w:tc>
      </w:tr>
      <w:tr>
        <w:tc>
          <w:tcPr>
            <w:tcW w:type="dxa" w:w="19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Prime Rawafed+</w:t>
            </w:r>
          </w:p>
        </w:tc>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Expertise France</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Jusqu’à 50 000 €</w:t>
            </w:r>
          </w:p>
        </w:tc>
        <w:tc>
          <w:tcPr>
            <w:tcW w:type="dxa" w:w="16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Subvention</w:t>
            </w:r>
          </w:p>
        </w:tc>
        <w:tc>
          <w:tcPr>
            <w:tcW w:type="dxa" w:w="2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PME bénéficiaires BEI</w:t>
            </w:r>
          </w:p>
        </w:tc>
      </w:tr>
    </w:tbl>
    <w:p>
      <w:pPr>
        <w:pStyle w:val="Heading1"/>
        <w:pageBreakBefore/>
        <w:spacing w:after="240" w:before="480"/>
      </w:pPr>
      <w:r>
        <w:rPr>
          <w:rFonts w:ascii="Calibri" w:cs="Calibri" w:eastAsia="Calibri" w:hAnsi="Calibri"/>
          <w:b/>
          <w:bCs/>
          <w:color w:val="01696F"/>
          <w:sz w:val="40"/>
          <w:szCs w:val="40"/>
        </w:rPr>
        <w:t xml:space="preserve">Annexes</w:t>
      </w:r>
    </w:p>
    <w:p>
      <w:pPr>
        <w:pStyle w:val="Heading2"/>
        <w:spacing w:after="160" w:before="320"/>
      </w:pPr>
      <w:r>
        <w:rPr>
          <w:rFonts w:ascii="Calibri" w:cs="Calibri" w:eastAsia="Calibri" w:hAnsi="Calibri"/>
          <w:b/>
          <w:bCs/>
          <w:color w:val="0C4E54"/>
          <w:sz w:val="30"/>
          <w:szCs w:val="30"/>
        </w:rPr>
        <w:t xml:space="preserve">Annexe A — Répertoire des contacts principaux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000"/>
        <w:gridCol w:w="2760"/>
      </w:tblGrid>
      <w:tr>
        <w:trPr>
          <w:tblHeader/>
        </w:trPr>
        <w:tc>
          <w:tcPr>
            <w:tcW w:type="dxa" w:w="26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Institution</w:t>
            </w:r>
          </w:p>
        </w:tc>
        <w:tc>
          <w:tcPr>
            <w:tcW w:type="dxa" w:w="4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Adresse</w:t>
            </w:r>
          </w:p>
        </w:tc>
        <w:tc>
          <w:tcPr>
            <w:tcW w:type="dxa" w:w="27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Site</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34, rue Hédi Karray, Menzah IV, 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bfpme.com.tn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 Bank</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Réseau d’agences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bts.com.tn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SOTUGAR</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34, av. Hédi Karray, Menzah 4 (tél : 71 752 610)</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sotugar.com.tn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APII</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63, rue de Syrie, 1002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tunisieindustrie.nat.tn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APIA</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investissement.gov.tn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BCT</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Avenue Kheireddine Pasha,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bct.gov.tn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CMF</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cmf.tn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ACM (microfinance)</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acm.gov.tn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Smart Capital / ANAVA</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smartcapital.tn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Tunisia</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startup.gov.tn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 Tamweel</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Rue de l’Assistance, Cité Khadra</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endatamweel.tn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Taysir Microfinance</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 Place Mendès France, Mutuelleville</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taysir.com.tn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CEPEX</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tunisiaexport.tn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CDC Tunisie</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07, Rue Abou Hamed El Ghazali, Montplaisir</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cdc.tn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Carthage Business Angels</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Berges du Lac, 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cba.tn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 Tunisie</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Berges du Lac II,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giz.de</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 Capital</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216capital.vc</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Centre Urbain Nord,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africinvest.com</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 International Bank</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Berges du Lac 3, 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wifakbank.com</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 Zitouna</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Le Kram, Tunis</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banquezitouna.com</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 Baraka Bank</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88, av. Hédi Chaker, 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albarakabank.com.tn</w:t>
            </w:r>
          </w:p>
        </w:tc>
      </w:tr>
      <w:tr>
        <w:tc>
          <w:tcPr>
            <w:tcW w:type="dxa" w:w="26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Financini (base de données)</w:t>
            </w:r>
          </w:p>
        </w:tc>
        <w:tc>
          <w:tcPr>
            <w:tcW w:type="dxa" w:w="4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w:t>
            </w:r>
          </w:p>
        </w:tc>
        <w:tc>
          <w:tcPr>
            <w:tcW w:type="dxa" w:w="27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financini.org.tn</w:t>
            </w:r>
          </w:p>
        </w:tc>
      </w:tr>
      <w:tr>
        <w:tc>
          <w:tcPr>
            <w:tcW w:type="dxa" w:w="26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TIA (Instance Investissement)</w:t>
            </w:r>
          </w:p>
        </w:tc>
        <w:tc>
          <w:tcPr>
            <w:tcW w:type="dxa" w:w="4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Tunis</w:t>
            </w:r>
          </w:p>
        </w:tc>
        <w:tc>
          <w:tcPr>
            <w:tcW w:type="dxa" w:w="27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tia.gov.tn</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Annexe B — Chronologie des textes réglementaires clés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4960"/>
      </w:tblGrid>
      <w:tr>
        <w:trPr>
          <w:tblHeader/>
        </w:trPr>
        <w:tc>
          <w:tcPr>
            <w:tcW w:type="dxa" w:w="14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Date</w:t>
            </w:r>
          </w:p>
        </w:tc>
        <w:tc>
          <w:tcPr>
            <w:tcW w:type="dxa" w:w="30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Texte</w:t>
            </w:r>
          </w:p>
        </w:tc>
        <w:tc>
          <w:tcPr>
            <w:tcW w:type="dxa" w:w="49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Objet</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2001</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2001-65</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Établissements de crédit (dont banques islamiques)</w:t>
            </w:r>
          </w:p>
        </w:tc>
      </w:tr>
      <w:tr>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2011</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Décret-loi n° 2011-117</w:t>
            </w:r>
          </w:p>
        </w:tc>
        <w:tc>
          <w:tcPr>
            <w:tcW w:type="dxa" w:w="4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Organisation de la microfinance</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2016</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2016-71</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Code des investissements</w:t>
            </w:r>
          </w:p>
        </w:tc>
      </w:tr>
      <w:tr>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2018</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2018-20</w:t>
            </w:r>
          </w:p>
        </w:tc>
        <w:tc>
          <w:tcPr>
            <w:tcW w:type="dxa" w:w="4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Startup Act</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2018</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Décret n° 2018-840</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Modalités du Label Startup</w:t>
            </w:r>
          </w:p>
        </w:tc>
      </w:tr>
      <w:tr>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2019</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Circulaires BCT n° 2019-01 et 02</w:t>
            </w:r>
          </w:p>
        </w:tc>
        <w:tc>
          <w:tcPr>
            <w:tcW w:type="dxa" w:w="4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Avantages de change startups</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2020</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Loi n° 2020-37</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Financement participatif (crowdfunding)</w:t>
            </w:r>
          </w:p>
        </w:tc>
      </w:tr>
      <w:tr>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2022</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Décrets n° 2022-765, 766, 767</w:t>
            </w:r>
          </w:p>
        </w:tc>
        <w:tc>
          <w:tcPr>
            <w:tcW w:type="dxa" w:w="4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Application crowdfunding</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2023</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Circulaire BCT n° 2023-06</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Crowdlending</w:t>
            </w:r>
          </w:p>
        </w:tc>
      </w:tr>
      <w:tr>
        <w:tc>
          <w:tcPr>
            <w:tcW w:type="dxa" w:w="14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2024</w:t>
            </w:r>
          </w:p>
        </w:tc>
        <w:tc>
          <w:tcPr>
            <w:tcW w:type="dxa" w:w="30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JORT n° 139</w:t>
            </w:r>
          </w:p>
        </w:tc>
        <w:tc>
          <w:tcPr>
            <w:tcW w:type="dxa" w:w="49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Règlement CMF crowdfunding</w:t>
            </w:r>
          </w:p>
        </w:tc>
      </w:tr>
      <w:tr>
        <w:tc>
          <w:tcPr>
            <w:tcW w:type="dxa" w:w="14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2024</w:t>
            </w:r>
          </w:p>
        </w:tc>
        <w:tc>
          <w:tcPr>
            <w:tcW w:type="dxa" w:w="30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LF 2025 (Loi n° 2024-54)</w:t>
            </w:r>
          </w:p>
        </w:tc>
        <w:tc>
          <w:tcPr>
            <w:tcW w:type="dxa" w:w="49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Mesures fiscales et financement PME 2025</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Annexe C — Glossaire des termes financiers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Terme</w:t>
            </w:r>
          </w:p>
        </w:tc>
        <w:tc>
          <w:tcPr>
            <w:tcW w:type="dxa" w:w="7560"/>
            <w:tcBorders>
              <w:top w:val="single" w:color="0C4E54" w:sz="4"/>
              <w:left w:val="single" w:color="0C4E54" w:sz="4"/>
              <w:bottom w:val="single" w:color="0C4E54" w:sz="4"/>
              <w:right w:val="single" w:color="0C4E54" w:sz="4"/>
            </w:tcBorders>
            <w:shd w:fill="01696F" w:val="clear"/>
            <w:tcMar>
              <w:top w:type="dxa" w:w="100"/>
              <w:left w:type="dxa" w:w="100"/>
              <w:bottom w:type="dxa" w:w="100"/>
              <w:right w:type="dxa" w:w="100"/>
            </w:tcMar>
            <w:vAlign w:val="center"/>
          </w:tcPr>
          <w:p>
            <w:pPr>
              <w:jc w:val="left"/>
            </w:pPr>
            <w:r>
              <w:rPr>
                <w:rFonts w:ascii="Calibri" w:cs="Calibri" w:eastAsia="Calibri" w:hAnsi="Calibri"/>
                <w:b/>
                <w:bCs/>
                <w:color w:val="FFFFFF"/>
                <w:sz w:val="20"/>
                <w:szCs w:val="20"/>
              </w:rPr>
              <w:t xml:space="preserve">Définition</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TMM</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du Marché Monétaire (taux de référence bancaire en Tunisie)</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CCT</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à Court Terme (&lt; 2 ans)</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CMT</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à Moyen Terme (2 à 7 ans)</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CLT</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à Long Terme (&gt; 7 ans)</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CMLT</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Crédit à Moyen et Long Terme</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BFR</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Besoin en Fonds de Roulement</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EBITDA</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Bénéfice avant intérêts, impôts, dépréciations et amortissements</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TRI</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de Rentabilité Interne</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VAN</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Valeur Actuelle Nette</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DRI</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Délai de Récupération de l’Investissement</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SICAR</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Société d’Investissement à Capital Risque</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FCPR</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Commun de Placement à Risque</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IS</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Impôt sur les Sociétés</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IRPP</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Impôt sur le Revenu des Personnes Physiques</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VRR</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Versement de Revenus de Remplacement (Startup Act)</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PE</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Private Equity (capital-investissement)</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VC</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Venture Capital (capital-risque)</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DSCR</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Debt Service Coverage Ratio (ratio de couverture de la dette)</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TEG</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Taux Effectif Global</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IMF</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Institution de Microfinance</w:t>
            </w:r>
          </w:p>
        </w:tc>
      </w:tr>
      <w:tr>
        <w:tc>
          <w:tcPr>
            <w:tcW w:type="dxa" w:w="180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PMN</w:t>
            </w:r>
          </w:p>
        </w:tc>
        <w:tc>
          <w:tcPr>
            <w:tcW w:type="dxa" w:w="7560"/>
            <w:tcBorders>
              <w:top w:val="single" w:color="D4D1CA" w:sz="4"/>
              <w:left w:val="single" w:color="D4D1CA" w:sz="4"/>
              <w:bottom w:val="single" w:color="D4D1CA" w:sz="4"/>
              <w:right w:val="single" w:color="D4D1CA" w:sz="4"/>
            </w:tcBorders>
            <w:shd w:fill="FFFFFF"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Programme de Mise à Niveau</w:t>
            </w:r>
          </w:p>
        </w:tc>
      </w:tr>
      <w:tr>
        <w:tc>
          <w:tcPr>
            <w:tcW w:type="dxa" w:w="180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FODEC</w:t>
            </w:r>
          </w:p>
        </w:tc>
        <w:tc>
          <w:tcPr>
            <w:tcW w:type="dxa" w:w="7560"/>
            <w:tcBorders>
              <w:top w:val="single" w:color="D4D1CA" w:sz="4"/>
              <w:left w:val="single" w:color="D4D1CA" w:sz="4"/>
              <w:bottom w:val="single" w:color="D4D1CA" w:sz="4"/>
              <w:right w:val="single" w:color="D4D1CA" w:sz="4"/>
            </w:tcBorders>
            <w:shd w:fill="F4F2EC" w:val="clear"/>
            <w:tcMar>
              <w:top w:type="dxa" w:w="80"/>
              <w:left w:type="dxa" w:w="100"/>
              <w:bottom w:type="dxa" w:w="80"/>
              <w:right w:type="dxa" w:w="100"/>
            </w:tcMar>
            <w:vAlign w:val="center"/>
          </w:tcPr>
          <w:p>
            <w:pPr>
              <w:spacing w:line="280"/>
              <w:jc w:val="left"/>
            </w:pPr>
            <w:r>
              <w:rPr>
                <w:rFonts w:ascii="Calibri" w:cs="Calibri" w:eastAsia="Calibri" w:hAnsi="Calibri"/>
                <w:color w:val="28251D"/>
                <w:sz w:val="19"/>
                <w:szCs w:val="19"/>
              </w:rPr>
              <w:t xml:space="preserve">Fonds de Développement de la Compétitivité</w:t>
            </w:r>
          </w:p>
        </w:tc>
      </w:tr>
    </w:tbl>
    <w:p>
      <w:pPr>
        <w:spacing w:after="160"/>
      </w:pPr>
      <w:r>
        <w:rPr>
          <w:rFonts w:ascii="Calibri" w:cs="Calibri" w:eastAsia="Calibri" w:hAnsi="Calibri"/>
        </w:rPr>
        <w:t xml:space="preserve"/>
      </w:r>
    </w:p>
    <w:p>
      <w:pPr>
        <w:pStyle w:val="Heading2"/>
        <w:spacing w:after="160" w:before="320"/>
      </w:pPr>
      <w:r>
        <w:rPr>
          <w:rFonts w:ascii="Calibri" w:cs="Calibri" w:eastAsia="Calibri" w:hAnsi="Calibri"/>
          <w:b/>
          <w:bCs/>
          <w:color w:val="0C4E54"/>
          <w:sz w:val="30"/>
          <w:szCs w:val="30"/>
        </w:rPr>
        <w:t xml:space="preserve">Annexe D — Sources principales</w:t>
      </w:r>
    </w:p>
    <w:p>
      <w:pPr>
        <w:spacing w:after="140" w:line="320"/>
        <w:jc w:val="both"/>
      </w:pPr>
      <w:r>
        <w:rPr>
          <w:rFonts w:ascii="Calibri" w:cs="Calibri" w:eastAsia="Calibri" w:hAnsi="Calibri"/>
          <w:color w:val="28251D"/>
          <w:sz w:val="22"/>
          <w:szCs w:val="22"/>
        </w:rPr>
        <w:t xml:space="preserve">Ce livre blanc s’appuie sur des sources primaires tunisiennes et internationales, consultées au premier semestre 2025. Les principales références sont :</w:t>
      </w:r>
    </w:p>
    <w:p>
      <w:pPr>
        <w:pStyle w:val="Heading3"/>
        <w:spacing w:after="120" w:before="240"/>
      </w:pPr>
      <w:r>
        <w:rPr>
          <w:rFonts w:ascii="Calibri" w:cs="Calibri" w:eastAsia="Calibri" w:hAnsi="Calibri"/>
          <w:b/>
          <w:bCs/>
          <w:color w:val="28251D"/>
          <w:sz w:val="24"/>
          <w:szCs w:val="24"/>
        </w:rPr>
        <w:t xml:space="preserve">Sources institutionnelles tunisiennes</w:t>
      </w:r>
    </w:p>
    <w:p>
      <w:pPr>
        <w:pStyle w:val="ListParagraph"/>
        <w:numPr>
          <w:ilvl w:val="0"/>
          <w:numId w:val="2"/>
        </w:numPr>
        <w:spacing w:after="80" w:line="300"/>
      </w:pPr>
      <w:r>
        <w:rPr>
          <w:rFonts w:ascii="Calibri" w:cs="Calibri" w:eastAsia="Calibri" w:hAnsi="Calibri"/>
          <w:color w:val="28251D"/>
          <w:sz w:val="22"/>
          <w:szCs w:val="22"/>
        </w:rPr>
        <w:t xml:space="preserve">Banque Centrale de Tunisie (BCT) — bct.gov.tn</w:t>
      </w:r>
    </w:p>
    <w:p>
      <w:pPr>
        <w:pStyle w:val="ListParagraph"/>
        <w:numPr>
          <w:ilvl w:val="0"/>
          <w:numId w:val="2"/>
        </w:numPr>
        <w:spacing w:after="80" w:line="300"/>
      </w:pPr>
      <w:r>
        <w:rPr>
          <w:rFonts w:ascii="Calibri" w:cs="Calibri" w:eastAsia="Calibri" w:hAnsi="Calibri"/>
          <w:color w:val="28251D"/>
          <w:sz w:val="22"/>
          <w:szCs w:val="22"/>
        </w:rPr>
        <w:t xml:space="preserve">Conseil du Marché Financier (CMF) — cmf.tn</w:t>
      </w:r>
    </w:p>
    <w:p>
      <w:pPr>
        <w:pStyle w:val="ListParagraph"/>
        <w:numPr>
          <w:ilvl w:val="0"/>
          <w:numId w:val="2"/>
        </w:numPr>
        <w:spacing w:after="80" w:line="300"/>
      </w:pPr>
      <w:r>
        <w:rPr>
          <w:rFonts w:ascii="Calibri" w:cs="Calibri" w:eastAsia="Calibri" w:hAnsi="Calibri"/>
          <w:color w:val="28251D"/>
          <w:sz w:val="22"/>
          <w:szCs w:val="22"/>
        </w:rPr>
        <w:t xml:space="preserve">Agence de Promotion de l’Industrie et de l’Innovation (APII) — tunisieindustrie.nat.tn</w:t>
      </w:r>
    </w:p>
    <w:p>
      <w:pPr>
        <w:pStyle w:val="ListParagraph"/>
        <w:numPr>
          <w:ilvl w:val="0"/>
          <w:numId w:val="2"/>
        </w:numPr>
        <w:spacing w:after="80" w:line="300"/>
      </w:pPr>
      <w:r>
        <w:rPr>
          <w:rFonts w:ascii="Calibri" w:cs="Calibri" w:eastAsia="Calibri" w:hAnsi="Calibri"/>
          <w:color w:val="28251D"/>
          <w:sz w:val="22"/>
          <w:szCs w:val="22"/>
        </w:rPr>
        <w:t xml:space="preserve">Banque de Financement des PME (BFPME) — bfpme.com.tn</w:t>
      </w:r>
    </w:p>
    <w:p>
      <w:pPr>
        <w:pStyle w:val="ListParagraph"/>
        <w:numPr>
          <w:ilvl w:val="0"/>
          <w:numId w:val="2"/>
        </w:numPr>
        <w:spacing w:after="80" w:line="300"/>
      </w:pPr>
      <w:r>
        <w:rPr>
          <w:rFonts w:ascii="Calibri" w:cs="Calibri" w:eastAsia="Calibri" w:hAnsi="Calibri"/>
          <w:color w:val="28251D"/>
          <w:sz w:val="22"/>
          <w:szCs w:val="22"/>
        </w:rPr>
        <w:t xml:space="preserve">Banque Tunisienne de Solidarité (BTS Bank) — bts.com.tn</w:t>
      </w:r>
    </w:p>
    <w:p>
      <w:pPr>
        <w:pStyle w:val="ListParagraph"/>
        <w:numPr>
          <w:ilvl w:val="0"/>
          <w:numId w:val="2"/>
        </w:numPr>
        <w:spacing w:after="80" w:line="300"/>
      </w:pPr>
      <w:r>
        <w:rPr>
          <w:rFonts w:ascii="Calibri" w:cs="Calibri" w:eastAsia="Calibri" w:hAnsi="Calibri"/>
          <w:color w:val="28251D"/>
          <w:sz w:val="22"/>
          <w:szCs w:val="22"/>
        </w:rPr>
        <w:t xml:space="preserve">Société Tunisienne de Garantie (SOTUGAR) — sotugar.com.tn</w:t>
      </w:r>
    </w:p>
    <w:p>
      <w:pPr>
        <w:pStyle w:val="ListParagraph"/>
        <w:numPr>
          <w:ilvl w:val="0"/>
          <w:numId w:val="2"/>
        </w:numPr>
        <w:spacing w:after="80" w:line="300"/>
      </w:pPr>
      <w:r>
        <w:rPr>
          <w:rFonts w:ascii="Calibri" w:cs="Calibri" w:eastAsia="Calibri" w:hAnsi="Calibri"/>
          <w:color w:val="28251D"/>
          <w:sz w:val="22"/>
          <w:szCs w:val="22"/>
        </w:rPr>
        <w:t xml:space="preserve">Startup Tunisia — startup.gov.tn</w:t>
      </w:r>
    </w:p>
    <w:p>
      <w:pPr>
        <w:pStyle w:val="ListParagraph"/>
        <w:numPr>
          <w:ilvl w:val="0"/>
          <w:numId w:val="2"/>
        </w:numPr>
        <w:spacing w:after="80" w:line="300"/>
      </w:pPr>
      <w:r>
        <w:rPr>
          <w:rFonts w:ascii="Calibri" w:cs="Calibri" w:eastAsia="Calibri" w:hAnsi="Calibri"/>
          <w:color w:val="28251D"/>
          <w:sz w:val="22"/>
          <w:szCs w:val="22"/>
        </w:rPr>
        <w:t xml:space="preserve">Smart Capital — smartcapital.tn</w:t>
      </w:r>
    </w:p>
    <w:p>
      <w:pPr>
        <w:pStyle w:val="ListParagraph"/>
        <w:numPr>
          <w:ilvl w:val="0"/>
          <w:numId w:val="2"/>
        </w:numPr>
        <w:spacing w:after="80" w:line="300"/>
      </w:pPr>
      <w:r>
        <w:rPr>
          <w:rFonts w:ascii="Calibri" w:cs="Calibri" w:eastAsia="Calibri" w:hAnsi="Calibri"/>
          <w:color w:val="28251D"/>
          <w:sz w:val="22"/>
          <w:szCs w:val="22"/>
        </w:rPr>
        <w:t xml:space="preserve">Autorité de Contrôle de la Microfinance (ACM) — acm.gov.tn</w:t>
      </w:r>
    </w:p>
    <w:p>
      <w:pPr>
        <w:pStyle w:val="ListParagraph"/>
        <w:numPr>
          <w:ilvl w:val="0"/>
          <w:numId w:val="2"/>
        </w:numPr>
        <w:spacing w:after="80" w:line="300"/>
      </w:pPr>
      <w:r>
        <w:rPr>
          <w:rFonts w:ascii="Calibri" w:cs="Calibri" w:eastAsia="Calibri" w:hAnsi="Calibri"/>
          <w:color w:val="28251D"/>
          <w:sz w:val="22"/>
          <w:szCs w:val="22"/>
        </w:rPr>
        <w:t xml:space="preserve">Tunisian Investment Authority (TIA) — tia.gov.tn</w:t>
      </w:r>
    </w:p>
    <w:p>
      <w:pPr>
        <w:pStyle w:val="ListParagraph"/>
        <w:numPr>
          <w:ilvl w:val="0"/>
          <w:numId w:val="2"/>
        </w:numPr>
        <w:spacing w:after="80" w:line="300"/>
      </w:pPr>
      <w:r>
        <w:rPr>
          <w:rFonts w:ascii="Calibri" w:cs="Calibri" w:eastAsia="Calibri" w:hAnsi="Calibri"/>
          <w:color w:val="28251D"/>
          <w:sz w:val="22"/>
          <w:szCs w:val="22"/>
        </w:rPr>
        <w:t xml:space="preserve">Institut National de la Statistique (INS) — ins.tn</w:t>
      </w:r>
    </w:p>
    <w:p>
      <w:pPr>
        <w:pStyle w:val="Heading3"/>
        <w:spacing w:after="120" w:before="240"/>
      </w:pPr>
      <w:r>
        <w:rPr>
          <w:rFonts w:ascii="Calibri" w:cs="Calibri" w:eastAsia="Calibri" w:hAnsi="Calibri"/>
          <w:b/>
          <w:bCs/>
          <w:color w:val="28251D"/>
          <w:sz w:val="24"/>
          <w:szCs w:val="24"/>
        </w:rPr>
        <w:t xml:space="preserve">Sources institutions financières</w:t>
      </w:r>
    </w:p>
    <w:p>
      <w:pPr>
        <w:pStyle w:val="ListParagraph"/>
        <w:numPr>
          <w:ilvl w:val="0"/>
          <w:numId w:val="2"/>
        </w:numPr>
        <w:spacing w:after="80" w:line="300"/>
      </w:pPr>
      <w:r>
        <w:rPr>
          <w:rFonts w:ascii="Calibri" w:cs="Calibri" w:eastAsia="Calibri" w:hAnsi="Calibri"/>
          <w:color w:val="28251D"/>
          <w:sz w:val="22"/>
          <w:szCs w:val="22"/>
        </w:rPr>
        <w:t xml:space="preserve">Enda Tamweel — endatamweel.tn</w:t>
      </w:r>
    </w:p>
    <w:p>
      <w:pPr>
        <w:pStyle w:val="ListParagraph"/>
        <w:numPr>
          <w:ilvl w:val="0"/>
          <w:numId w:val="2"/>
        </w:numPr>
        <w:spacing w:after="80" w:line="300"/>
      </w:pPr>
      <w:r>
        <w:rPr>
          <w:rFonts w:ascii="Calibri" w:cs="Calibri" w:eastAsia="Calibri" w:hAnsi="Calibri"/>
          <w:color w:val="28251D"/>
          <w:sz w:val="22"/>
          <w:szCs w:val="22"/>
        </w:rPr>
        <w:t xml:space="preserve">Tunisie Leasing &amp; Factoring (TLF) — tlf.com.tn</w:t>
      </w:r>
    </w:p>
    <w:p>
      <w:pPr>
        <w:pStyle w:val="ListParagraph"/>
        <w:numPr>
          <w:ilvl w:val="0"/>
          <w:numId w:val="2"/>
        </w:numPr>
        <w:spacing w:after="80" w:line="300"/>
      </w:pPr>
      <w:r>
        <w:rPr>
          <w:rFonts w:ascii="Calibri" w:cs="Calibri" w:eastAsia="Calibri" w:hAnsi="Calibri"/>
          <w:color w:val="28251D"/>
          <w:sz w:val="22"/>
          <w:szCs w:val="22"/>
        </w:rPr>
        <w:t xml:space="preserve">Banque Zitouna — banquezitouna.com</w:t>
      </w:r>
    </w:p>
    <w:p>
      <w:pPr>
        <w:pStyle w:val="ListParagraph"/>
        <w:numPr>
          <w:ilvl w:val="0"/>
          <w:numId w:val="2"/>
        </w:numPr>
        <w:spacing w:after="80" w:line="300"/>
      </w:pPr>
      <w:r>
        <w:rPr>
          <w:rFonts w:ascii="Calibri" w:cs="Calibri" w:eastAsia="Calibri" w:hAnsi="Calibri"/>
          <w:color w:val="28251D"/>
          <w:sz w:val="22"/>
          <w:szCs w:val="22"/>
        </w:rPr>
        <w:t xml:space="preserve">Wifak International Bank — wifakbank.com</w:t>
      </w:r>
    </w:p>
    <w:p>
      <w:pPr>
        <w:pStyle w:val="Heading3"/>
        <w:spacing w:after="120" w:before="240"/>
      </w:pPr>
      <w:r>
        <w:rPr>
          <w:rFonts w:ascii="Calibri" w:cs="Calibri" w:eastAsia="Calibri" w:hAnsi="Calibri"/>
          <w:b/>
          <w:bCs/>
          <w:color w:val="28251D"/>
          <w:sz w:val="24"/>
          <w:szCs w:val="24"/>
        </w:rPr>
        <w:t xml:space="preserve">Sources bailleurs internationaux</w:t>
      </w:r>
    </w:p>
    <w:p>
      <w:pPr>
        <w:pStyle w:val="ListParagraph"/>
        <w:numPr>
          <w:ilvl w:val="0"/>
          <w:numId w:val="2"/>
        </w:numPr>
        <w:spacing w:after="80" w:line="300"/>
      </w:pPr>
      <w:r>
        <w:rPr>
          <w:rFonts w:ascii="Calibri" w:cs="Calibri" w:eastAsia="Calibri" w:hAnsi="Calibri"/>
          <w:color w:val="28251D"/>
          <w:sz w:val="22"/>
          <w:szCs w:val="22"/>
        </w:rPr>
        <w:t xml:space="preserve">Banque Européenne d’Investissement (BEI) — eib.org</w:t>
      </w:r>
    </w:p>
    <w:p>
      <w:pPr>
        <w:pStyle w:val="ListParagraph"/>
        <w:numPr>
          <w:ilvl w:val="0"/>
          <w:numId w:val="2"/>
        </w:numPr>
        <w:spacing w:after="80" w:line="300"/>
      </w:pPr>
      <w:r>
        <w:rPr>
          <w:rFonts w:ascii="Calibri" w:cs="Calibri" w:eastAsia="Calibri" w:hAnsi="Calibri"/>
          <w:color w:val="28251D"/>
          <w:sz w:val="22"/>
          <w:szCs w:val="22"/>
        </w:rPr>
        <w:t xml:space="preserve">Banque Européenne pour la Reconstruction et le Développement (BERD) — ebrd.com</w:t>
      </w:r>
    </w:p>
    <w:p>
      <w:pPr>
        <w:pStyle w:val="ListParagraph"/>
        <w:numPr>
          <w:ilvl w:val="0"/>
          <w:numId w:val="2"/>
        </w:numPr>
        <w:spacing w:after="80" w:line="300"/>
      </w:pPr>
      <w:r>
        <w:rPr>
          <w:rFonts w:ascii="Calibri" w:cs="Calibri" w:eastAsia="Calibri" w:hAnsi="Calibri"/>
          <w:color w:val="28251D"/>
          <w:sz w:val="22"/>
          <w:szCs w:val="22"/>
        </w:rPr>
        <w:t xml:space="preserve">Agence Française de Développement (AFD) — afd.fr / proparco.fr</w:t>
      </w:r>
    </w:p>
    <w:p>
      <w:pPr>
        <w:pStyle w:val="ListParagraph"/>
        <w:numPr>
          <w:ilvl w:val="0"/>
          <w:numId w:val="2"/>
        </w:numPr>
        <w:spacing w:after="80" w:line="300"/>
      </w:pPr>
      <w:r>
        <w:rPr>
          <w:rFonts w:ascii="Calibri" w:cs="Calibri" w:eastAsia="Calibri" w:hAnsi="Calibri"/>
          <w:color w:val="28251D"/>
          <w:sz w:val="22"/>
          <w:szCs w:val="22"/>
        </w:rPr>
        <w:t xml:space="preserve">Banque Mondiale Tunisie — banquemondiale.org / ext / fr / country / tunisia</w:t>
      </w:r>
    </w:p>
    <w:p>
      <w:pPr>
        <w:pStyle w:val="ListParagraph"/>
        <w:numPr>
          <w:ilvl w:val="0"/>
          <w:numId w:val="2"/>
        </w:numPr>
        <w:spacing w:after="80" w:line="300"/>
      </w:pPr>
      <w:r>
        <w:rPr>
          <w:rFonts w:ascii="Calibri" w:cs="Calibri" w:eastAsia="Calibri" w:hAnsi="Calibri"/>
          <w:color w:val="28251D"/>
          <w:sz w:val="22"/>
          <w:szCs w:val="22"/>
        </w:rPr>
        <w:t xml:space="preserve">Société Financière Internationale (IFC) — ifc.org</w:t>
      </w:r>
    </w:p>
    <w:p>
      <w:pPr>
        <w:pStyle w:val="ListParagraph"/>
        <w:numPr>
          <w:ilvl w:val="0"/>
          <w:numId w:val="2"/>
        </w:numPr>
        <w:spacing w:after="80" w:line="300"/>
      </w:pPr>
      <w:r>
        <w:rPr>
          <w:rFonts w:ascii="Calibri" w:cs="Calibri" w:eastAsia="Calibri" w:hAnsi="Calibri"/>
          <w:color w:val="28251D"/>
          <w:sz w:val="22"/>
          <w:szCs w:val="22"/>
        </w:rPr>
        <w:t xml:space="preserve">GIZ Tunisie — giz.de / en / fr / tunisie</w:t>
      </w:r>
    </w:p>
    <w:p>
      <w:pPr>
        <w:pStyle w:val="ListParagraph"/>
        <w:numPr>
          <w:ilvl w:val="0"/>
          <w:numId w:val="2"/>
        </w:numPr>
        <w:spacing w:after="80" w:line="300"/>
      </w:pPr>
      <w:r>
        <w:rPr>
          <w:rFonts w:ascii="Calibri" w:cs="Calibri" w:eastAsia="Calibri" w:hAnsi="Calibri"/>
          <w:color w:val="28251D"/>
          <w:sz w:val="22"/>
          <w:szCs w:val="22"/>
        </w:rPr>
        <w:t xml:space="preserve">KfW — kfw.de</w:t>
      </w:r>
    </w:p>
    <w:p>
      <w:pPr>
        <w:pStyle w:val="ListParagraph"/>
        <w:numPr>
          <w:ilvl w:val="0"/>
          <w:numId w:val="2"/>
        </w:numPr>
        <w:spacing w:after="80" w:line="300"/>
      </w:pPr>
      <w:r>
        <w:rPr>
          <w:rFonts w:ascii="Calibri" w:cs="Calibri" w:eastAsia="Calibri" w:hAnsi="Calibri"/>
          <w:color w:val="28251D"/>
          <w:sz w:val="22"/>
          <w:szCs w:val="22"/>
        </w:rPr>
        <w:t xml:space="preserve">Rawafed+ — rawafed.tn</w:t>
      </w:r>
    </w:p>
    <w:p>
      <w:pPr>
        <w:pStyle w:val="ListParagraph"/>
        <w:numPr>
          <w:ilvl w:val="0"/>
          <w:numId w:val="2"/>
        </w:numPr>
        <w:spacing w:after="80" w:line="300"/>
      </w:pPr>
      <w:r>
        <w:rPr>
          <w:rFonts w:ascii="Calibri" w:cs="Calibri" w:eastAsia="Calibri" w:hAnsi="Calibri"/>
          <w:color w:val="28251D"/>
          <w:sz w:val="22"/>
          <w:szCs w:val="22"/>
        </w:rPr>
        <w:t xml:space="preserve">Invest for Jobs (GIZ) — invest-for-jobs.com / en / country / tunisia</w:t>
      </w:r>
    </w:p>
    <w:p>
      <w:pPr>
        <w:pStyle w:val="Heading3"/>
        <w:spacing w:after="120" w:before="240"/>
      </w:pPr>
      <w:r>
        <w:rPr>
          <w:rFonts w:ascii="Calibri" w:cs="Calibri" w:eastAsia="Calibri" w:hAnsi="Calibri"/>
          <w:b/>
          <w:bCs/>
          <w:color w:val="28251D"/>
          <w:sz w:val="24"/>
          <w:szCs w:val="24"/>
        </w:rPr>
        <w:t xml:space="preserve">Sources analytiques</w:t>
      </w:r>
    </w:p>
    <w:p>
      <w:pPr>
        <w:pStyle w:val="ListParagraph"/>
        <w:numPr>
          <w:ilvl w:val="0"/>
          <w:numId w:val="2"/>
        </w:numPr>
        <w:spacing w:after="80" w:line="300"/>
      </w:pPr>
      <w:r>
        <w:rPr>
          <w:rFonts w:ascii="Calibri" w:cs="Calibri" w:eastAsia="Calibri" w:hAnsi="Calibri"/>
          <w:color w:val="28251D"/>
          <w:sz w:val="22"/>
          <w:szCs w:val="22"/>
        </w:rPr>
        <w:t xml:space="preserve">Tunisie Valeurs — note thématique Microfinance 2024 (mai 2025)</w:t>
      </w:r>
    </w:p>
    <w:p>
      <w:pPr>
        <w:pStyle w:val="ListParagraph"/>
        <w:numPr>
          <w:ilvl w:val="0"/>
          <w:numId w:val="2"/>
        </w:numPr>
        <w:spacing w:after="80" w:line="300"/>
      </w:pPr>
      <w:r>
        <w:rPr>
          <w:rFonts w:ascii="Calibri" w:cs="Calibri" w:eastAsia="Calibri" w:hAnsi="Calibri"/>
          <w:color w:val="28251D"/>
          <w:sz w:val="22"/>
          <w:szCs w:val="22"/>
        </w:rPr>
        <w:t xml:space="preserve">Managers.tn — statistiques entreprises Tunisie (juin 2025)</w:t>
      </w:r>
    </w:p>
    <w:p>
      <w:pPr>
        <w:pStyle w:val="ListParagraph"/>
        <w:numPr>
          <w:ilvl w:val="0"/>
          <w:numId w:val="2"/>
        </w:numPr>
        <w:spacing w:after="80" w:line="300"/>
      </w:pPr>
      <w:r>
        <w:rPr>
          <w:rFonts w:ascii="Calibri" w:cs="Calibri" w:eastAsia="Calibri" w:hAnsi="Calibri"/>
          <w:color w:val="28251D"/>
          <w:sz w:val="22"/>
          <w:szCs w:val="22"/>
        </w:rPr>
        <w:t xml:space="preserve">Irbe7 — analyse réglementaire crowdfunding (avril 2025)</w:t>
      </w:r>
    </w:p>
    <w:p>
      <w:pPr>
        <w:pStyle w:val="ListParagraph"/>
        <w:numPr>
          <w:ilvl w:val="0"/>
          <w:numId w:val="2"/>
        </w:numPr>
        <w:spacing w:after="80" w:line="300"/>
      </w:pPr>
      <w:r>
        <w:rPr>
          <w:rFonts w:ascii="Calibri" w:cs="Calibri" w:eastAsia="Calibri" w:hAnsi="Calibri"/>
          <w:color w:val="28251D"/>
          <w:sz w:val="22"/>
          <w:szCs w:val="22"/>
        </w:rPr>
        <w:t xml:space="preserve">Leaders.com.tn — actualité économique</w:t>
      </w:r>
    </w:p>
    <w:p>
      <w:pPr>
        <w:pStyle w:val="ListParagraph"/>
        <w:numPr>
          <w:ilvl w:val="0"/>
          <w:numId w:val="2"/>
        </w:numPr>
        <w:spacing w:after="80" w:line="300"/>
      </w:pPr>
      <w:r>
        <w:rPr>
          <w:rFonts w:ascii="Calibri" w:cs="Calibri" w:eastAsia="Calibri" w:hAnsi="Calibri"/>
          <w:color w:val="28251D"/>
          <w:sz w:val="22"/>
          <w:szCs w:val="22"/>
        </w:rPr>
        <w:t xml:space="preserve">ACET for Africa — étude de cas Tunisie (2023)</w:t>
      </w:r>
    </w:p>
    <w:p>
      <w:pPr>
        <w:pStyle w:val="ListParagraph"/>
        <w:numPr>
          <w:ilvl w:val="0"/>
          <w:numId w:val="2"/>
        </w:numPr>
        <w:spacing w:after="80" w:line="300"/>
      </w:pPr>
      <w:r>
        <w:rPr>
          <w:rFonts w:ascii="Calibri" w:cs="Calibri" w:eastAsia="Calibri" w:hAnsi="Calibri"/>
          <w:color w:val="28251D"/>
          <w:sz w:val="22"/>
          <w:szCs w:val="22"/>
        </w:rPr>
        <w:t xml:space="preserve">Connexus Corporation — USAID JOBS</w:t>
      </w:r>
    </w:p>
    <w:p>
      <w:pPr>
        <w:pStyle w:val="ListParagraph"/>
        <w:numPr>
          <w:ilvl w:val="0"/>
          <w:numId w:val="2"/>
        </w:numPr>
        <w:spacing w:after="80" w:line="300"/>
      </w:pPr>
      <w:r>
        <w:rPr>
          <w:rFonts w:ascii="Calibri" w:cs="Calibri" w:eastAsia="Calibri" w:hAnsi="Calibri"/>
          <w:color w:val="28251D"/>
          <w:sz w:val="22"/>
          <w:szCs w:val="22"/>
        </w:rPr>
        <w:t xml:space="preserve">Financini.org.tn — base de données mécanismes financement</w:t>
      </w:r>
    </w:p>
    <w:p>
      <w:pPr>
        <w:spacing w:after="400"/>
      </w:pPr>
      <w:r>
        <w:rPr>
          <w:rFonts w:ascii="Calibri" w:cs="Calibri" w:eastAsia="Calibri" w:hAnsi="Calibri"/>
        </w:rPr>
        <w:t xml:space="preserve"/>
      </w:r>
    </w:p>
    <w:p>
      <w:pPr>
        <w:spacing w:after="120" w:before="240"/>
        <w:jc w:val="center"/>
      </w:pPr>
      <w:r>
        <w:rPr>
          <w:rFonts w:ascii="Calibri" w:cs="Calibri" w:eastAsia="Calibri" w:hAnsi="Calibri"/>
          <w:i/>
          <w:iCs/>
          <w:color w:val="7A7974"/>
          <w:sz w:val="20"/>
          <w:szCs w:val="20"/>
        </w:rPr>
        <w:t xml:space="preserve">Livre blanc édité par Bouzguenda Training Center — Édition 2025 - 2026</w:t>
      </w:r>
    </w:p>
    <w:p>
      <w:pPr>
        <w:spacing w:after="60"/>
        <w:jc w:val="center"/>
      </w:pPr>
      <w:r>
        <w:rPr>
          <w:rFonts w:ascii="Calibri" w:cs="Calibri" w:eastAsia="Calibri" w:hAnsi="Calibri"/>
          <w:color w:val="7A7974"/>
          <w:sz w:val="18"/>
          <w:szCs w:val="18"/>
        </w:rPr>
        <w:t xml:space="preserve">© 2025 Ridha Bouzguenda — Expert Comptable &amp; Consultant. Tous droits réservés.</w:t>
      </w:r>
    </w:p>
    <w:p>
      <w:pPr>
        <w:spacing w:after="120"/>
        <w:jc w:val="center"/>
      </w:pPr>
      <w:r>
        <w:rPr>
          <w:rFonts w:ascii="Calibri" w:cs="Calibri" w:eastAsia="Calibri" w:hAnsi="Calibri"/>
          <w:i/>
          <w:iCs/>
          <w:color w:val="7A7974"/>
          <w:sz w:val="16"/>
          <w:szCs w:val="16"/>
        </w:rPr>
        <w:t xml:space="preserve">Document à vocation informative et pédagogique. Les montants, taux et dispositifs cités sont susceptibles d’évoluer ; vérifier les conditions en vigueur auprès des institutions concernées avant toute décision.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A7974"/>
        <w:sz w:val="16"/>
        <w:szCs w:val="16"/>
      </w:rPr>
      <w:t xml:space="preserve">Bouzguenda Training Center — Édition 2025-2026   |   Page </w:t>
    </w:r>
    <w:r>
      <w:rPr>
        <w:rFonts w:ascii="Calibri" w:cs="Calibri" w:eastAsia="Calibri" w:hAnsi="Calibri"/>
        <w:color w:val="7A7974"/>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7A7974"/>
        <w:sz w:val="18"/>
        <w:szCs w:val="18"/>
      </w:rPr>
      <w:t xml:space="preserve">Livre blanc — Financement des PME en Tunisie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900" w:hanging="270"/>
      </w:pPr>
    </w:lvl>
  </w:abstractNum>
  <w:abstractNum w:abstractNumId="3"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Calibri" w:cs="Calibri" w:eastAsia="Calibri" w:hAnsi="Calibri"/>
      <w:b/>
      <w:bCs/>
      <w:color w:val="01696F"/>
      <w:sz w:val="40"/>
      <w:szCs w:val="40"/>
    </w:rPr>
  </w:style>
  <w:style w:type="paragraph" w:styleId="Heading2">
    <w:name w:val="Heading 2"/>
    <w:basedOn w:val="Normal"/>
    <w:next w:val="Normal"/>
    <w:qFormat/>
    <w:pPr>
      <w:spacing w:after="160" w:before="320"/>
      <w:outlineLvl w:val="1"/>
    </w:pPr>
    <w:rPr>
      <w:rFonts w:ascii="Calibri" w:cs="Calibri" w:eastAsia="Calibri" w:hAnsi="Calibri"/>
      <w:b/>
      <w:bCs/>
      <w:color w:val="0C4E54"/>
      <w:sz w:val="30"/>
      <w:szCs w:val="30"/>
    </w:rPr>
  </w:style>
  <w:style w:type="paragraph" w:styleId="Heading3">
    <w:name w:val="Heading 3"/>
    <w:basedOn w:val="Normal"/>
    <w:next w:val="Normal"/>
    <w:qFormat/>
    <w:pPr>
      <w:spacing w:after="120" w:before="240"/>
      <w:outlineLvl w:val="2"/>
    </w:pPr>
    <w:rPr>
      <w:rFonts w:ascii="Calibri" w:cs="Calibri" w:eastAsia="Calibri" w:hAnsi="Calibri"/>
      <w:b/>
      <w:bCs/>
      <w:color w:val="28251D"/>
      <w:sz w:val="24"/>
      <w:szCs w:val="24"/>
    </w:rPr>
  </w:style>
  <w:style w:type="paragraph" w:styleId="Heading4">
    <w:name w:val="Heading 4"/>
    <w:basedOn w:val="Normal"/>
    <w:next w:val="Normal"/>
    <w:qFormat/>
    <w:pPr>
      <w:spacing w:after="80" w:before="180"/>
      <w:outlineLvl w:val="3"/>
    </w:pPr>
    <w:rPr>
      <w:rFonts w:ascii="Calibri" w:cs="Calibri" w:eastAsia="Calibri" w:hAnsi="Calibri"/>
      <w:b/>
      <w:bCs/>
      <w:color w:val="0C4E5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_nma-mghtytzyam8jnqev" Type="http://schemas.openxmlformats.org/officeDocument/2006/relationships/hyperlink" Target="https://oif.bct.gov.tn/leasing_factoring" TargetMode="External"/><Relationship Id="rIdrabaz5mtxg5_fhpie62qu" Type="http://schemas.openxmlformats.org/officeDocument/2006/relationships/hyperlink" Target="https://www.bfpme.com.tn" TargetMode="External"/><Relationship Id="rIdrnqf4chf03ihhhqxh91pg" Type="http://schemas.openxmlformats.org/officeDocument/2006/relationships/hyperlink" Target="https://www.bfpme.com.tn/fr/boite-outils" TargetMode="External"/><Relationship Id="rIdssek2d42jy_xvegea7awm" Type="http://schemas.openxmlformats.org/officeDocument/2006/relationships/hyperlink" Target="https://www.cmf.tn/sites/default/files/pdfs/cmf/acteurs/liste_SICAR_01042022.pdf" TargetMode="External"/><Relationship Id="rIdcbnfhlscsndxq0gihbjef" Type="http://schemas.openxmlformats.org/officeDocument/2006/relationships/hyperlink" Target="https://oif.bct.gov.tn/sicar_fonds" TargetMode="External"/><Relationship Id="rIdnrktsyl0qxnhmqbqgts5g" Type="http://schemas.openxmlformats.org/officeDocument/2006/relationships/hyperlink" Target="https://www.acm.gov.tn/Fr/" TargetMode="External"/><Relationship Id="rIdyd3ntso6fs7fw_xc8pye9" Type="http://schemas.openxmlformats.org/officeDocument/2006/relationships/hyperlink" Target="https://startup.gov.tn" TargetMode="External"/><Relationship Id="rIdohtko3qz1hifvqu9lqznb" Type="http://schemas.openxmlformats.org/officeDocument/2006/relationships/hyperlink" Target="https://rawafed.tn/prime-d-investissement/"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Blanc — Sources de Financement des PME en Tunisie</dc:title>
  <dc:creator>Ridha Bouzguenda</dc:creator>
  <dc:description>Guide pratique pour les entrepreneurs</dc:description>
  <cp:lastModifiedBy>Un-named</cp:lastModifiedBy>
  <cp:revision>1</cp:revision>
  <dcterms:created xsi:type="dcterms:W3CDTF">2026-05-28T09:57:55.801Z</dcterms:created>
  <dcterms:modified xsi:type="dcterms:W3CDTF">2026-05-28T09:57:55.801Z</dcterms:modified>
</cp:coreProperties>
</file>

<file path=docProps/custom.xml><?xml version="1.0" encoding="utf-8"?>
<Properties xmlns="http://schemas.openxmlformats.org/officeDocument/2006/custom-properties" xmlns:vt="http://schemas.openxmlformats.org/officeDocument/2006/docPropsVTypes"/>
</file>