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r>
        <w:t xml:space="preserve"/>
      </w:r>
    </w:p>
    <w:p>
      <w:pPr>
        <w:spacing w:after="200"/>
        <w:jc w:val="center"/>
      </w:pPr>
      <w:r>
        <w:rPr>
          <w:rFonts w:ascii="Calibri" w:cs="Calibri" w:eastAsia="Calibri" w:hAnsi="Calibri"/>
          <w:b/>
          <w:bCs/>
          <w:caps/>
          <w:color w:val="D4A017"/>
          <w:sz w:val="28"/>
          <w:szCs w:val="28"/>
        </w:rPr>
        <w:t xml:space="preserve">LIVRE BLANC</w:t>
      </w:r>
    </w:p>
    <w:p>
      <w:pPr>
        <w:spacing w:after="200"/>
        <w:jc w:val="center"/>
      </w:pPr>
      <w:r>
        <w:rPr>
          <w:rFonts w:ascii="Calibri" w:cs="Calibri" w:eastAsia="Calibri" w:hAnsi="Calibri"/>
          <w:b/>
          <w:bCs/>
          <w:color w:val="13243F"/>
          <w:sz w:val="56"/>
          <w:szCs w:val="56"/>
        </w:rPr>
        <w:t xml:space="preserve">Les Déclarations Fiscales</w:t>
      </w:r>
    </w:p>
    <w:p>
      <w:pPr>
        <w:spacing w:after="200"/>
        <w:jc w:val="center"/>
      </w:pPr>
      <w:r>
        <w:rPr>
          <w:rFonts w:ascii="Calibri" w:cs="Calibri" w:eastAsia="Calibri" w:hAnsi="Calibri"/>
          <w:b/>
          <w:bCs/>
          <w:color w:val="13243F"/>
          <w:sz w:val="56"/>
          <w:szCs w:val="56"/>
        </w:rPr>
        <w:t xml:space="preserve">et Sociales en Tunisie</w:t>
      </w:r>
    </w:p>
    <w:p>
      <w:pPr>
        <w:spacing w:after="600"/>
        <w:jc w:val="center"/>
      </w:pPr>
      <w:r>
        <w:rPr>
          <w:rFonts w:ascii="Calibri" w:cs="Calibri" w:eastAsia="Calibri" w:hAnsi="Calibri"/>
          <w:i/>
          <w:iCs/>
          <w:color w:val="6B7280"/>
          <w:sz w:val="26"/>
          <w:szCs w:val="26"/>
        </w:rPr>
        <w:t xml:space="preserve">Guide pratique pour l’entreprise — Fiscalité, CNSS, calendrier 2026</w:t>
      </w:r>
    </w:p>
    <w:p>
      <w:pPr>
        <w:spacing w:after="1600"/>
        <w:jc w:val="center"/>
      </w:pPr>
      <w:r>
        <w:rPr>
          <w:rFonts w:ascii="Calibri" w:cs="Calibri" w:eastAsia="Calibri" w:hAnsi="Calibri"/>
          <w:color w:val="6B7280"/>
          <w:sz w:val="22"/>
          <w:szCs w:val="22"/>
        </w:rPr>
        <w:t xml:space="preserve">Obligations déclaratives fiscales et sociales — mis à jour LF 2025 &amp; LF 2026</w:t>
      </w:r>
    </w:p>
    <w:p>
      <w:pPr>
        <w:spacing w:after="300"/>
        <w:jc w:val="center"/>
      </w:pPr>
      <w:r>
        <w:rPr>
          <w:rFonts w:ascii="Calibri" w:cs="Calibri" w:eastAsia="Calibri" w:hAnsi="Calibri"/>
          <w:color w:val="D4A017"/>
          <w:sz w:val="24"/>
          <w:szCs w:val="24"/>
        </w:rPr>
        <w:t xml:space="preserve">——————————</w:t>
      </w:r>
    </w:p>
    <w:p>
      <w:pPr>
        <w:spacing w:after="100"/>
        <w:jc w:val="center"/>
      </w:pPr>
      <w:r>
        <w:rPr>
          <w:rFonts w:ascii="Calibri" w:cs="Calibri" w:eastAsia="Calibri" w:hAnsi="Calibri"/>
          <w:b/>
          <w:bCs/>
          <w:color w:val="1F2A37"/>
          <w:sz w:val="24"/>
          <w:szCs w:val="24"/>
        </w:rPr>
        <w:t xml:space="preserve">Auteur : Anis BHAR</w:t>
      </w:r>
    </w:p>
    <w:p>
      <w:pPr>
        <w:spacing w:after="100"/>
        <w:jc w:val="center"/>
      </w:pPr>
      <w:r>
        <w:rPr>
          <w:rFonts w:ascii="Calibri" w:cs="Calibri" w:eastAsia="Calibri" w:hAnsi="Calibri"/>
          <w:color w:val="6B7280"/>
          <w:sz w:val="22"/>
          <w:szCs w:val="22"/>
        </w:rPr>
        <w:t xml:space="preserve">Expert-Comptable</w:t>
      </w:r>
    </w:p>
    <w:p>
      <w:pPr>
        <w:spacing w:after="100"/>
        <w:jc w:val="center"/>
      </w:pPr>
      <w:r>
        <w:rPr>
          <w:rFonts w:ascii="Calibri" w:cs="Calibri" w:eastAsia="Calibri" w:hAnsi="Calibri"/>
          <w:color w:val="6B7280"/>
          <w:sz w:val="20"/>
          <w:szCs w:val="20"/>
        </w:rPr>
        <w:t xml:space="preserve">Sousse, Tunisie</w:t>
      </w:r>
    </w:p>
    <w:p>
      <w:pPr>
        <w:spacing w:after="100"/>
        <w:jc w:val="center"/>
      </w:pPr>
      <w:r>
        <w:rPr>
          <w:rFonts w:ascii="Calibri" w:cs="Calibri" w:eastAsia="Calibri" w:hAnsi="Calibri"/>
          <w:color w:val="6B7280"/>
          <w:sz w:val="20"/>
          <w:szCs w:val="20"/>
        </w:rPr>
        <w:t xml:space="preserve">anisbhar@gmail.com</w:t>
      </w:r>
    </w:p>
    <w:p>
      <w:pPr>
        <w:spacing w:after="400"/>
        <w:jc w:val="center"/>
      </w:pPr>
      <w:r>
        <w:rPr>
          <w:rFonts w:ascii="Calibri" w:cs="Calibri" w:eastAsia="Calibri" w:hAnsi="Calibri"/>
          <w:i/>
          <w:iCs/>
          <w:color w:val="6B7280"/>
          <w:sz w:val="20"/>
          <w:szCs w:val="20"/>
        </w:rPr>
        <w:t xml:space="preserve">Édition 2026</w:t>
      </w:r>
    </w:p>
    <w:p>
      <w:r>
        <w:br w:type="page"/>
      </w:r>
    </w:p>
    <w:p>
      <w:pPr>
        <w:pStyle w:val="Heading1"/>
        <w:spacing w:after="220" w:before="480"/>
      </w:pPr>
      <w:r>
        <w:rPr>
          <w:rFonts w:ascii="Calibri" w:cs="Calibri" w:eastAsia="Calibri" w:hAnsi="Calibri"/>
          <w:b/>
          <w:bCs/>
          <w:color w:val="13243F"/>
          <w:sz w:val="36"/>
          <w:szCs w:val="36"/>
        </w:rPr>
        <w:t xml:space="preserve">Sommaire</w:t>
      </w:r>
    </w:p>
    <w:p>
      <w:pPr>
        <w:spacing w:after="60" w:before="180"/>
      </w:pPr>
      <w:r>
        <w:rPr>
          <w:rFonts w:ascii="Calibri" w:cs="Calibri" w:eastAsia="Calibri" w:hAnsi="Calibri"/>
          <w:b/>
          <w:bCs/>
          <w:color w:val="1F3A68"/>
          <w:sz w:val="24"/>
          <w:szCs w:val="24"/>
        </w:rPr>
        <w:t xml:space="preserve">Préface</w:t>
      </w:r>
    </w:p>
    <w:p>
      <w:pPr>
        <w:spacing w:after="60" w:before="180"/>
      </w:pPr>
      <w:r>
        <w:rPr>
          <w:rFonts w:ascii="Calibri" w:cs="Calibri" w:eastAsia="Calibri" w:hAnsi="Calibri"/>
          <w:b/>
          <w:bCs/>
          <w:color w:val="1F3A68"/>
          <w:sz w:val="24"/>
          <w:szCs w:val="24"/>
        </w:rPr>
        <w:t xml:space="preserve">Partie I — Les fondamentaux du système fiscal tunisien</w:t>
      </w:r>
    </w:p>
    <w:p>
      <w:pPr>
        <w:spacing w:after="40" w:before="40"/>
        <w:ind w:left="360"/>
      </w:pPr>
      <w:r>
        <w:rPr>
          <w:rFonts w:ascii="Calibri" w:cs="Calibri" w:eastAsia="Calibri" w:hAnsi="Calibri"/>
          <w:color w:val="1F2A37"/>
          <w:sz w:val="20"/>
          <w:szCs w:val="20"/>
        </w:rPr>
        <w:t xml:space="preserve">1.1. Les trois grandes catégories d’impôts</w:t>
      </w:r>
    </w:p>
    <w:p>
      <w:pPr>
        <w:spacing w:after="40" w:before="40"/>
        <w:ind w:left="360"/>
      </w:pPr>
      <w:r>
        <w:rPr>
          <w:rFonts w:ascii="Calibri" w:cs="Calibri" w:eastAsia="Calibri" w:hAnsi="Calibri"/>
          <w:color w:val="1F2A37"/>
          <w:sz w:val="20"/>
          <w:szCs w:val="20"/>
        </w:rPr>
        <w:t xml:space="preserve">1.2. Les régimes d’imposition</w:t>
      </w:r>
    </w:p>
    <w:p>
      <w:pPr>
        <w:spacing w:after="40" w:before="40"/>
        <w:ind w:left="360"/>
      </w:pPr>
      <w:r>
        <w:rPr>
          <w:rFonts w:ascii="Calibri" w:cs="Calibri" w:eastAsia="Calibri" w:hAnsi="Calibri"/>
          <w:color w:val="1F2A37"/>
          <w:sz w:val="20"/>
          <w:szCs w:val="20"/>
        </w:rPr>
        <w:t xml:space="preserve">1.3. Le barème IRPP en vigueur</w:t>
      </w:r>
    </w:p>
    <w:p>
      <w:pPr>
        <w:spacing w:after="40" w:before="40"/>
        <w:ind w:left="360"/>
      </w:pPr>
      <w:r>
        <w:rPr>
          <w:rFonts w:ascii="Calibri" w:cs="Calibri" w:eastAsia="Calibri" w:hAnsi="Calibri"/>
          <w:color w:val="1F2A37"/>
          <w:sz w:val="20"/>
          <w:szCs w:val="20"/>
        </w:rPr>
        <w:t xml:space="preserve">1.4. Les taux d’IS applicables</w:t>
      </w:r>
    </w:p>
    <w:p>
      <w:pPr>
        <w:spacing w:after="60" w:before="180"/>
      </w:pPr>
      <w:r>
        <w:rPr>
          <w:rFonts w:ascii="Calibri" w:cs="Calibri" w:eastAsia="Calibri" w:hAnsi="Calibri"/>
          <w:b/>
          <w:bCs/>
          <w:color w:val="1F3A68"/>
          <w:sz w:val="24"/>
          <w:szCs w:val="24"/>
        </w:rPr>
        <w:t xml:space="preserve">Partie II — Les déclarations mensuelles</w:t>
      </w:r>
    </w:p>
    <w:p>
      <w:pPr>
        <w:spacing w:after="40" w:before="40"/>
        <w:ind w:left="360"/>
      </w:pPr>
      <w:r>
        <w:rPr>
          <w:rFonts w:ascii="Calibri" w:cs="Calibri" w:eastAsia="Calibri" w:hAnsi="Calibri"/>
          <w:color w:val="1F2A37"/>
          <w:sz w:val="20"/>
          <w:szCs w:val="20"/>
        </w:rPr>
        <w:t xml:space="preserve">2.1. La déclaration mensuelle : pivot du système</w:t>
      </w:r>
    </w:p>
    <w:p>
      <w:pPr>
        <w:spacing w:after="40" w:before="40"/>
        <w:ind w:left="360"/>
      </w:pPr>
      <w:r>
        <w:rPr>
          <w:rFonts w:ascii="Calibri" w:cs="Calibri" w:eastAsia="Calibri" w:hAnsi="Calibri"/>
          <w:color w:val="1F2A37"/>
          <w:sz w:val="20"/>
          <w:szCs w:val="20"/>
        </w:rPr>
        <w:t xml:space="preserve">2.2. Les composantes de la déclaration mensuelle</w:t>
      </w:r>
    </w:p>
    <w:p>
      <w:pPr>
        <w:spacing w:after="40" w:before="40"/>
        <w:ind w:left="360"/>
      </w:pPr>
      <w:r>
        <w:rPr>
          <w:rFonts w:ascii="Calibri" w:cs="Calibri" w:eastAsia="Calibri" w:hAnsi="Calibri"/>
          <w:color w:val="1F2A37"/>
          <w:sz w:val="20"/>
          <w:szCs w:val="20"/>
        </w:rPr>
        <w:t xml:space="preserve">2.3. Focus : TFP, FOPROLOS et exonérations</w:t>
      </w:r>
    </w:p>
    <w:p>
      <w:pPr>
        <w:spacing w:after="40" w:before="40"/>
        <w:ind w:left="360"/>
      </w:pPr>
      <w:r>
        <w:rPr>
          <w:rFonts w:ascii="Calibri" w:cs="Calibri" w:eastAsia="Calibri" w:hAnsi="Calibri"/>
          <w:color w:val="1F2A37"/>
          <w:sz w:val="20"/>
          <w:szCs w:val="20"/>
        </w:rPr>
        <w:t xml:space="preserve">2.4. La télédéclaration via E-Jebeya</w:t>
      </w:r>
    </w:p>
    <w:p>
      <w:pPr>
        <w:spacing w:after="60" w:before="180"/>
      </w:pPr>
      <w:r>
        <w:rPr>
          <w:rFonts w:ascii="Calibri" w:cs="Calibri" w:eastAsia="Calibri" w:hAnsi="Calibri"/>
          <w:b/>
          <w:bCs/>
          <w:color w:val="1F3A68"/>
          <w:sz w:val="24"/>
          <w:szCs w:val="24"/>
        </w:rPr>
        <w:t xml:space="preserve">Partie III — Les déclarations annuelles et acomptes</w:t>
      </w:r>
    </w:p>
    <w:p>
      <w:pPr>
        <w:spacing w:after="40" w:before="40"/>
        <w:ind w:left="360"/>
      </w:pPr>
      <w:r>
        <w:rPr>
          <w:rFonts w:ascii="Calibri" w:cs="Calibri" w:eastAsia="Calibri" w:hAnsi="Calibri"/>
          <w:color w:val="1F2A37"/>
          <w:sz w:val="20"/>
          <w:szCs w:val="20"/>
        </w:rPr>
        <w:t xml:space="preserve">3.1. La déclaration annuelle IS (PM régime réel)</w:t>
      </w:r>
    </w:p>
    <w:p>
      <w:pPr>
        <w:spacing w:after="40" w:before="40"/>
        <w:ind w:left="360"/>
      </w:pPr>
      <w:r>
        <w:rPr>
          <w:rFonts w:ascii="Calibri" w:cs="Calibri" w:eastAsia="Calibri" w:hAnsi="Calibri"/>
          <w:color w:val="1F2A37"/>
          <w:sz w:val="20"/>
          <w:szCs w:val="20"/>
        </w:rPr>
        <w:t xml:space="preserve">3.2. La déclaration annuelle IRPP (PP régime réel)</w:t>
      </w:r>
    </w:p>
    <w:p>
      <w:pPr>
        <w:spacing w:after="40" w:before="40"/>
        <w:ind w:left="360"/>
      </w:pPr>
      <w:r>
        <w:rPr>
          <w:rFonts w:ascii="Calibri" w:cs="Calibri" w:eastAsia="Calibri" w:hAnsi="Calibri"/>
          <w:color w:val="1F2A37"/>
          <w:sz w:val="20"/>
          <w:szCs w:val="20"/>
        </w:rPr>
        <w:t xml:space="preserve">3.3. Les acomptes provisionnels (AP)</w:t>
      </w:r>
    </w:p>
    <w:p>
      <w:pPr>
        <w:spacing w:after="40" w:before="40"/>
        <w:ind w:left="360"/>
      </w:pPr>
      <w:r>
        <w:rPr>
          <w:rFonts w:ascii="Calibri" w:cs="Calibri" w:eastAsia="Calibri" w:hAnsi="Calibri"/>
          <w:color w:val="1F2A37"/>
          <w:sz w:val="20"/>
          <w:szCs w:val="20"/>
        </w:rPr>
        <w:t xml:space="preserve">3.4. La déclaration d’employeur</w:t>
      </w:r>
    </w:p>
    <w:p>
      <w:pPr>
        <w:spacing w:after="40" w:before="40"/>
        <w:ind w:left="360"/>
      </w:pPr>
      <w:r>
        <w:rPr>
          <w:rFonts w:ascii="Calibri" w:cs="Calibri" w:eastAsia="Calibri" w:hAnsi="Calibri"/>
          <w:color w:val="1F2A37"/>
          <w:sz w:val="20"/>
          <w:szCs w:val="20"/>
        </w:rPr>
        <w:t xml:space="preserve">3.5. La déclaration des états financiers</w:t>
      </w:r>
    </w:p>
    <w:p>
      <w:pPr>
        <w:spacing w:after="60" w:before="180"/>
      </w:pPr>
      <w:r>
        <w:rPr>
          <w:rFonts w:ascii="Calibri" w:cs="Calibri" w:eastAsia="Calibri" w:hAnsi="Calibri"/>
          <w:b/>
          <w:bCs/>
          <w:color w:val="1F3A68"/>
          <w:sz w:val="24"/>
          <w:szCs w:val="24"/>
        </w:rPr>
        <w:t xml:space="preserve">Partie IV — Les obligations CNSS</w:t>
      </w:r>
    </w:p>
    <w:p>
      <w:pPr>
        <w:spacing w:after="40" w:before="40"/>
        <w:ind w:left="360"/>
      </w:pPr>
      <w:r>
        <w:rPr>
          <w:rFonts w:ascii="Calibri" w:cs="Calibri" w:eastAsia="Calibri" w:hAnsi="Calibri"/>
          <w:color w:val="1F2A37"/>
          <w:sz w:val="20"/>
          <w:szCs w:val="20"/>
        </w:rPr>
        <w:t xml:space="preserve">4.1. Le principe d’affiliation</w:t>
      </w:r>
    </w:p>
    <w:p>
      <w:pPr>
        <w:spacing w:after="40" w:before="40"/>
        <w:ind w:left="360"/>
      </w:pPr>
      <w:r>
        <w:rPr>
          <w:rFonts w:ascii="Calibri" w:cs="Calibri" w:eastAsia="Calibri" w:hAnsi="Calibri"/>
          <w:color w:val="1F2A37"/>
          <w:sz w:val="20"/>
          <w:szCs w:val="20"/>
        </w:rPr>
        <w:t xml:space="preserve">4.2. Le régime TNS : les classes de revenus</w:t>
      </w:r>
    </w:p>
    <w:p>
      <w:pPr>
        <w:spacing w:after="40" w:before="40"/>
        <w:ind w:left="360"/>
      </w:pPr>
      <w:r>
        <w:rPr>
          <w:rFonts w:ascii="Calibri" w:cs="Calibri" w:eastAsia="Calibri" w:hAnsi="Calibri"/>
          <w:color w:val="1F2A37"/>
          <w:sz w:val="20"/>
          <w:szCs w:val="20"/>
        </w:rPr>
        <w:t xml:space="preserve">4.3. Le régime général : les taux de cotisations</w:t>
      </w:r>
    </w:p>
    <w:p>
      <w:pPr>
        <w:spacing w:after="40" w:before="40"/>
        <w:ind w:left="360"/>
      </w:pPr>
      <w:r>
        <w:rPr>
          <w:rFonts w:ascii="Calibri" w:cs="Calibri" w:eastAsia="Calibri" w:hAnsi="Calibri"/>
          <w:color w:val="1F2A37"/>
          <w:sz w:val="20"/>
          <w:szCs w:val="20"/>
        </w:rPr>
        <w:t xml:space="preserve">4.4. Le calendrier de déclaration CNSS trimestrielle</w:t>
      </w:r>
    </w:p>
    <w:p>
      <w:pPr>
        <w:spacing w:after="40" w:before="40"/>
        <w:ind w:left="360"/>
      </w:pPr>
      <w:r>
        <w:rPr>
          <w:rFonts w:ascii="Calibri" w:cs="Calibri" w:eastAsia="Calibri" w:hAnsi="Calibri"/>
          <w:color w:val="1F2A37"/>
          <w:sz w:val="20"/>
          <w:szCs w:val="20"/>
        </w:rPr>
        <w:t xml:space="preserve">4.5. La déclaration CNSS via Damancom</w:t>
      </w:r>
    </w:p>
    <w:p>
      <w:pPr>
        <w:spacing w:after="60" w:before="180"/>
      </w:pPr>
      <w:r>
        <w:rPr>
          <w:rFonts w:ascii="Calibri" w:cs="Calibri" w:eastAsia="Calibri" w:hAnsi="Calibri"/>
          <w:b/>
          <w:bCs/>
          <w:color w:val="1F3A68"/>
          <w:sz w:val="24"/>
          <w:szCs w:val="24"/>
        </w:rPr>
        <w:t xml:space="preserve">Partie V — Calendrier fiscal et social annuel consolidé</w:t>
      </w:r>
    </w:p>
    <w:p>
      <w:pPr>
        <w:spacing w:after="40" w:before="40"/>
        <w:ind w:left="360"/>
      </w:pPr>
      <w:r>
        <w:rPr>
          <w:rFonts w:ascii="Calibri" w:cs="Calibri" w:eastAsia="Calibri" w:hAnsi="Calibri"/>
          <w:color w:val="1F2A37"/>
          <w:sz w:val="20"/>
          <w:szCs w:val="20"/>
        </w:rPr>
        <w:t xml:space="preserve">5.1. Calendrier mensuel</w:t>
      </w:r>
    </w:p>
    <w:p>
      <w:pPr>
        <w:spacing w:after="40" w:before="40"/>
        <w:ind w:left="360"/>
      </w:pPr>
      <w:r>
        <w:rPr>
          <w:rFonts w:ascii="Calibri" w:cs="Calibri" w:eastAsia="Calibri" w:hAnsi="Calibri"/>
          <w:color w:val="1F2A37"/>
          <w:sz w:val="20"/>
          <w:szCs w:val="20"/>
        </w:rPr>
        <w:t xml:space="preserve">5.2. Calendrier annuel détaillé</w:t>
      </w:r>
    </w:p>
    <w:p>
      <w:pPr>
        <w:spacing w:after="40" w:before="40"/>
        <w:ind w:left="360"/>
      </w:pPr>
      <w:r>
        <w:rPr>
          <w:rFonts w:ascii="Calibri" w:cs="Calibri" w:eastAsia="Calibri" w:hAnsi="Calibri"/>
          <w:color w:val="1F2A37"/>
          <w:sz w:val="20"/>
          <w:szCs w:val="20"/>
        </w:rPr>
        <w:t xml:space="preserve">5.3. Le service SMS de la DGI : 85580</w:t>
      </w:r>
    </w:p>
    <w:p>
      <w:pPr>
        <w:spacing w:after="60" w:before="180"/>
      </w:pPr>
      <w:r>
        <w:rPr>
          <w:rFonts w:ascii="Calibri" w:cs="Calibri" w:eastAsia="Calibri" w:hAnsi="Calibri"/>
          <w:b/>
          <w:bCs/>
          <w:color w:val="1F3A68"/>
          <w:sz w:val="24"/>
          <w:szCs w:val="24"/>
        </w:rPr>
        <w:t xml:space="preserve">Partie VI — Nouveautés LF 2025 et LF 2026</w:t>
      </w:r>
    </w:p>
    <w:p>
      <w:pPr>
        <w:spacing w:after="40" w:before="40"/>
        <w:ind w:left="360"/>
      </w:pPr>
      <w:r>
        <w:rPr>
          <w:rFonts w:ascii="Calibri" w:cs="Calibri" w:eastAsia="Calibri" w:hAnsi="Calibri"/>
          <w:color w:val="1F2A37"/>
          <w:sz w:val="20"/>
          <w:szCs w:val="20"/>
        </w:rPr>
        <w:t xml:space="preserve">6.1. Changements de la LF 2025</w:t>
      </w:r>
    </w:p>
    <w:p>
      <w:pPr>
        <w:spacing w:after="40" w:before="40"/>
        <w:ind w:left="360"/>
      </w:pPr>
      <w:r>
        <w:rPr>
          <w:rFonts w:ascii="Calibri" w:cs="Calibri" w:eastAsia="Calibri" w:hAnsi="Calibri"/>
          <w:color w:val="1F2A37"/>
          <w:sz w:val="20"/>
          <w:szCs w:val="20"/>
        </w:rPr>
        <w:t xml:space="preserve">6.2. Changements de la LF 2026</w:t>
      </w:r>
    </w:p>
    <w:p>
      <w:pPr>
        <w:spacing w:after="40" w:before="40"/>
        <w:ind w:left="360"/>
      </w:pPr>
      <w:r>
        <w:rPr>
          <w:rFonts w:ascii="Calibri" w:cs="Calibri" w:eastAsia="Calibri" w:hAnsi="Calibri"/>
          <w:color w:val="1F2A37"/>
          <w:sz w:val="20"/>
          <w:szCs w:val="20"/>
        </w:rPr>
        <w:t xml:space="preserve">6.3. Sanctions principales en cas de défaut</w:t>
      </w:r>
    </w:p>
    <w:p>
      <w:pPr>
        <w:spacing w:after="60" w:before="180"/>
      </w:pPr>
      <w:r>
        <w:rPr>
          <w:rFonts w:ascii="Calibri" w:cs="Calibri" w:eastAsia="Calibri" w:hAnsi="Calibri"/>
          <w:b/>
          <w:bCs/>
          <w:color w:val="1F3A68"/>
          <w:sz w:val="24"/>
          <w:szCs w:val="24"/>
        </w:rPr>
        <w:t xml:space="preserve">Partie VII — Recommandations opérationnelles</w:t>
      </w:r>
    </w:p>
    <w:p>
      <w:pPr>
        <w:spacing w:after="40" w:before="40"/>
        <w:ind w:left="360"/>
      </w:pPr>
      <w:r>
        <w:rPr>
          <w:rFonts w:ascii="Calibri" w:cs="Calibri" w:eastAsia="Calibri" w:hAnsi="Calibri"/>
          <w:color w:val="1F2A37"/>
          <w:sz w:val="20"/>
          <w:szCs w:val="20"/>
        </w:rPr>
        <w:t xml:space="preserve">7.1. Pour les dirigeants d’entreprise</w:t>
      </w:r>
    </w:p>
    <w:p>
      <w:pPr>
        <w:spacing w:after="40" w:before="40"/>
        <w:ind w:left="360"/>
      </w:pPr>
      <w:r>
        <w:rPr>
          <w:rFonts w:ascii="Calibri" w:cs="Calibri" w:eastAsia="Calibri" w:hAnsi="Calibri"/>
          <w:color w:val="1F2A37"/>
          <w:sz w:val="20"/>
          <w:szCs w:val="20"/>
        </w:rPr>
        <w:t xml:space="preserve">7.2. Pour les comptables et responsables financiers</w:t>
      </w:r>
    </w:p>
    <w:p>
      <w:pPr>
        <w:spacing w:after="40" w:before="40"/>
        <w:ind w:left="360"/>
      </w:pPr>
      <w:r>
        <w:rPr>
          <w:rFonts w:ascii="Calibri" w:cs="Calibri" w:eastAsia="Calibri" w:hAnsi="Calibri"/>
          <w:color w:val="1F2A37"/>
          <w:sz w:val="20"/>
          <w:szCs w:val="20"/>
        </w:rPr>
        <w:t xml:space="preserve">7.3. Pour les professions libérales et TNS</w:t>
      </w:r>
    </w:p>
    <w:p>
      <w:pPr>
        <w:spacing w:after="40" w:before="40"/>
        <w:ind w:left="360"/>
      </w:pPr>
      <w:r>
        <w:rPr>
          <w:rFonts w:ascii="Calibri" w:cs="Calibri" w:eastAsia="Calibri" w:hAnsi="Calibri"/>
          <w:color w:val="1F2A37"/>
          <w:sz w:val="20"/>
          <w:szCs w:val="20"/>
        </w:rPr>
        <w:t xml:space="preserve">7.4. Checklist de conformité</w:t>
      </w:r>
    </w:p>
    <w:p>
      <w:pPr>
        <w:spacing w:after="60" w:before="180"/>
      </w:pPr>
      <w:r>
        <w:rPr>
          <w:rFonts w:ascii="Calibri" w:cs="Calibri" w:eastAsia="Calibri" w:hAnsi="Calibri"/>
          <w:b/>
          <w:bCs/>
          <w:color w:val="1F3A68"/>
          <w:sz w:val="24"/>
          <w:szCs w:val="24"/>
        </w:rPr>
        <w:t xml:space="preserve">Conclusion</w:t>
      </w:r>
    </w:p>
    <w:p>
      <w:pPr>
        <w:spacing w:after="60" w:before="180"/>
      </w:pPr>
      <w:r>
        <w:rPr>
          <w:rFonts w:ascii="Calibri" w:cs="Calibri" w:eastAsia="Calibri" w:hAnsi="Calibri"/>
          <w:b/>
          <w:bCs/>
          <w:color w:val="1F3A68"/>
          <w:sz w:val="24"/>
          <w:szCs w:val="24"/>
        </w:rPr>
        <w:t xml:space="preserve">Sources et références</w:t>
      </w:r>
    </w:p>
    <w:p>
      <w:r>
        <w:br w:type="page"/>
      </w:r>
    </w:p>
    <w:p>
      <w:pPr>
        <w:pStyle w:val="Heading1"/>
        <w:spacing w:after="220" w:before="480"/>
      </w:pPr>
      <w:r>
        <w:rPr>
          <w:rFonts w:ascii="Calibri" w:cs="Calibri" w:eastAsia="Calibri" w:hAnsi="Calibri"/>
          <w:b/>
          <w:bCs/>
          <w:color w:val="13243F"/>
          <w:sz w:val="36"/>
          <w:szCs w:val="36"/>
        </w:rPr>
        <w:t xml:space="preserve">Préface</w:t>
      </w:r>
    </w:p>
    <w:p>
      <w:pPr>
        <w:spacing w:after="120" w:before="0" w:line="320"/>
        <w:jc w:val="both"/>
      </w:pPr>
      <w:r>
        <w:rPr>
          <w:rFonts w:ascii="Calibri" w:cs="Calibri" w:eastAsia="Calibri" w:hAnsi="Calibri"/>
          <w:b w:val="false"/>
          <w:bCs w:val="false"/>
          <w:i w:val="false"/>
          <w:iCs w:val="false"/>
          <w:color w:val="1F2A37"/>
          <w:sz w:val="22"/>
          <w:szCs w:val="22"/>
        </w:rPr>
        <w:t xml:space="preserve">La maîtrise des obligations déclaratives fiscales et sociales constitue l’un des fondements essentiels de la pérennité de l’entreprise en Tunisie. Déclarations mensuelles, acomptes provisionnels, obligations CNSS, télédéclaration — chaque échéance ratée expose l’entreprise à des pénalités lourdes et à des risques de redressement fiscal.</w:t>
      </w:r>
    </w:p>
    <w:p>
      <w:pPr>
        <w:spacing w:after="120" w:before="0" w:line="320"/>
        <w:jc w:val="both"/>
      </w:pPr>
      <w:r>
        <w:rPr>
          <w:rFonts w:ascii="Calibri" w:cs="Calibri" w:eastAsia="Calibri" w:hAnsi="Calibri"/>
          <w:b w:val="false"/>
          <w:bCs w:val="false"/>
          <w:i w:val="false"/>
          <w:iCs w:val="false"/>
          <w:color w:val="1F2A37"/>
          <w:sz w:val="22"/>
          <w:szCs w:val="22"/>
        </w:rPr>
        <w:t xml:space="preserve">Le système fiscal et social tunisien est en pleine mutation. La dématérialisation progressive des déclarations — via la plateforme E-Jebeya pour les impôts, la plateforme TEJ pour les certificats de retenue à la source, et Damancom pour les cotisations CNSS — transforme profondément les pratiques. La loi de finances 2026 (loi n° 2025-17 du 12 décembre 2025) introduit par ailleurs des mesures structurantes : contribution non conjoncturelle, prolongation de la CSS, facture électronique étendue et amnistie fiscale.</w:t>
      </w:r>
    </w:p>
    <w:p>
      <w:pPr>
        <w:spacing w:after="120" w:before="0" w:line="320"/>
        <w:jc w:val="both"/>
      </w:pPr>
      <w:r>
        <w:rPr>
          <w:rFonts w:ascii="Calibri" w:cs="Calibri" w:eastAsia="Calibri" w:hAnsi="Calibri"/>
          <w:b w:val="false"/>
          <w:bCs w:val="false"/>
          <w:i w:val="false"/>
          <w:iCs w:val="false"/>
          <w:color w:val="1F2A37"/>
          <w:sz w:val="22"/>
          <w:szCs w:val="22"/>
        </w:rPr>
        <w:t xml:space="preserve">Ce livre blanc a pour vocation de fournir aux dirigeants, comptables, experts-comptables, responsables RH et professions libérales un guide pratique, pédagogique et actualisé. Il rassemble les bases légales, les taux en vigueur, les tableaux de référence, le calendrier consolidé et les nouveautés normatives des lois de finances 2025 et 2026.</w:t>
      </w:r>
    </w:p>
    <w:p>
      <w:pPr>
        <w:spacing w:after="120" w:before="0" w:line="320"/>
        <w:jc w:val="both"/>
      </w:pPr>
      <w:r>
        <w:rPr>
          <w:rFonts w:ascii="Calibri" w:cs="Calibri" w:eastAsia="Calibri" w:hAnsi="Calibri"/>
          <w:b w:val="false"/>
          <w:bCs w:val="false"/>
          <w:i w:val="false"/>
          <w:iCs w:val="false"/>
          <w:color w:val="1F2A37"/>
          <w:sz w:val="22"/>
          <w:szCs w:val="22"/>
        </w:rPr>
        <w:t xml:space="preserve">La méthode adoptée privilégie la clarté : tableaux synthétiques, chiffres précis, références légales et encadrés à retenir. Chaque obligation est rattachée à son article de code ou à la disposition de loi de finances l’ayant instituée.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A68"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1F3A68"/>
                <w:sz w:val="22"/>
                <w:szCs w:val="22"/>
              </w:rPr>
              <w:t xml:space="preserve">Public cible</w:t>
            </w:r>
          </w:p>
          <w:p>
            <w:pPr>
              <w:spacing w:after="60" w:line="300"/>
            </w:pPr>
            <w:r>
              <w:rPr>
                <w:rFonts w:ascii="Calibri" w:cs="Calibri" w:eastAsia="Calibri" w:hAnsi="Calibri"/>
                <w:color w:val="1F2A37"/>
                <w:sz w:val="21"/>
                <w:szCs w:val="21"/>
              </w:rPr>
              <w:t xml:space="preserve">• Dirigeants d’entreprises (SARL, SUARL, SA, SCA et sociétés de personnes).</w:t>
            </w:r>
          </w:p>
          <w:p>
            <w:pPr>
              <w:spacing w:after="60" w:line="300"/>
            </w:pPr>
            <w:r>
              <w:rPr>
                <w:rFonts w:ascii="Calibri" w:cs="Calibri" w:eastAsia="Calibri" w:hAnsi="Calibri"/>
                <w:color w:val="1F2A37"/>
                <w:sz w:val="21"/>
                <w:szCs w:val="21"/>
              </w:rPr>
              <w:t xml:space="preserve">• Directeurs administratifs et financiers, responsables comptables.</w:t>
            </w:r>
          </w:p>
          <w:p>
            <w:pPr>
              <w:spacing w:after="60" w:line="300"/>
            </w:pPr>
            <w:r>
              <w:rPr>
                <w:rFonts w:ascii="Calibri" w:cs="Calibri" w:eastAsia="Calibri" w:hAnsi="Calibri"/>
                <w:color w:val="1F2A37"/>
                <w:sz w:val="21"/>
                <w:szCs w:val="21"/>
              </w:rPr>
              <w:t xml:space="preserve">• Comptables internes et experts-comptables.</w:t>
            </w:r>
          </w:p>
          <w:p>
            <w:pPr>
              <w:spacing w:after="60" w:line="300"/>
            </w:pPr>
            <w:r>
              <w:rPr>
                <w:rFonts w:ascii="Calibri" w:cs="Calibri" w:eastAsia="Calibri" w:hAnsi="Calibri"/>
                <w:color w:val="1F2A37"/>
                <w:sz w:val="21"/>
                <w:szCs w:val="21"/>
              </w:rPr>
              <w:t xml:space="preserve">• Responsables des ressources humaines et de la paie.</w:t>
            </w:r>
          </w:p>
          <w:p>
            <w:pPr>
              <w:spacing w:after="60" w:line="300"/>
            </w:pPr>
            <w:r>
              <w:rPr>
                <w:rFonts w:ascii="Calibri" w:cs="Calibri" w:eastAsia="Calibri" w:hAnsi="Calibri"/>
                <w:color w:val="1F2A37"/>
                <w:sz w:val="21"/>
                <w:szCs w:val="21"/>
              </w:rPr>
              <w:t xml:space="preserve">• Professions libérales (médecins, avocats, architectes, consultants, ingénieurs).</w:t>
            </w:r>
          </w:p>
          <w:p>
            <w:pPr>
              <w:spacing w:after="60" w:line="300"/>
            </w:pPr>
            <w:r>
              <w:rPr>
                <w:rFonts w:ascii="Calibri" w:cs="Calibri" w:eastAsia="Calibri" w:hAnsi="Calibri"/>
                <w:color w:val="1F2A37"/>
                <w:sz w:val="21"/>
                <w:szCs w:val="21"/>
              </w:rPr>
              <w:t xml:space="preserve">• Travailleurs non-salariés (TNS) et auto-entrepreneurs.</w:t>
            </w:r>
          </w:p>
        </w:tc>
      </w:tr>
    </w:tbl>
    <w:p>
      <w:pPr>
        <w:spacing w:after="120"/>
      </w:pPr>
      <w:r>
        <w:t xml:space="preserve"/>
      </w:r>
    </w:p>
    <w:p>
      <w:pPr>
        <w:spacing w:after="120" w:before="0" w:line="320"/>
        <w:jc w:val="right"/>
      </w:pPr>
      <w:r>
        <w:rPr>
          <w:rFonts w:ascii="Calibri" w:cs="Calibri" w:eastAsia="Calibri" w:hAnsi="Calibri"/>
          <w:b/>
          <w:bCs/>
          <w:i w:val="false"/>
          <w:iCs w:val="false"/>
          <w:color w:val="1F2A37"/>
          <w:sz w:val="22"/>
          <w:szCs w:val="22"/>
        </w:rPr>
        <w:t xml:space="preserve">Anis BHAR</w:t>
      </w:r>
    </w:p>
    <w:p>
      <w:pPr>
        <w:spacing w:after="120" w:before="0" w:line="320"/>
        <w:jc w:val="right"/>
      </w:pPr>
      <w:r>
        <w:rPr>
          <w:rFonts w:ascii="Calibri" w:cs="Calibri" w:eastAsia="Calibri" w:hAnsi="Calibri"/>
          <w:b w:val="false"/>
          <w:bCs w:val="false"/>
          <w:i/>
          <w:iCs/>
          <w:color w:val="6B7280"/>
          <w:sz w:val="22"/>
          <w:szCs w:val="22"/>
        </w:rPr>
        <w:t xml:space="preserve">Expert-Comptable, Sousse</w:t>
      </w:r>
    </w:p>
    <w:p>
      <w:pPr>
        <w:spacing w:after="120" w:before="0" w:line="320"/>
        <w:jc w:val="right"/>
      </w:pPr>
      <w:r>
        <w:rPr>
          <w:rFonts w:ascii="Calibri" w:cs="Calibri" w:eastAsia="Calibri" w:hAnsi="Calibri"/>
          <w:b w:val="false"/>
          <w:bCs w:val="false"/>
          <w:i/>
          <w:iCs/>
          <w:color w:val="6B7280"/>
          <w:sz w:val="22"/>
          <w:szCs w:val="22"/>
        </w:rPr>
        <w:t xml:space="preserve">Édition 2026</w:t>
      </w:r>
    </w:p>
    <w:p>
      <w:r>
        <w:br w:type="page"/>
      </w:r>
    </w:p>
    <w:p>
      <w:pPr>
        <w:pStyle w:val="Heading1"/>
        <w:spacing w:after="220" w:before="480"/>
      </w:pPr>
      <w:r>
        <w:rPr>
          <w:rFonts w:ascii="Calibri" w:cs="Calibri" w:eastAsia="Calibri" w:hAnsi="Calibri"/>
          <w:b/>
          <w:bCs/>
          <w:color w:val="13243F"/>
          <w:sz w:val="36"/>
          <w:szCs w:val="36"/>
        </w:rPr>
        <w:t xml:space="preserve">Partie I — Les fondamentaux du système fiscal tunisien</w:t>
      </w:r>
    </w:p>
    <w:p>
      <w:pPr>
        <w:pStyle w:val="Heading2"/>
        <w:spacing w:after="160" w:before="320"/>
      </w:pPr>
      <w:r>
        <w:rPr>
          <w:rFonts w:ascii="Calibri" w:cs="Calibri" w:eastAsia="Calibri" w:hAnsi="Calibri"/>
          <w:b/>
          <w:bCs/>
          <w:color w:val="1F3A68"/>
          <w:sz w:val="28"/>
          <w:szCs w:val="28"/>
        </w:rPr>
        <w:t xml:space="preserve">1.1. Les trois grandes catégories d’impôts</w:t>
      </w:r>
    </w:p>
    <w:p>
      <w:pPr>
        <w:spacing w:after="120" w:before="0" w:line="320"/>
        <w:jc w:val="both"/>
      </w:pPr>
      <w:r>
        <w:rPr>
          <w:rFonts w:ascii="Calibri" w:cs="Calibri" w:eastAsia="Calibri" w:hAnsi="Calibri"/>
          <w:b w:val="false"/>
          <w:bCs w:val="false"/>
          <w:i w:val="false"/>
          <w:iCs w:val="false"/>
          <w:color w:val="1F2A37"/>
          <w:sz w:val="22"/>
          <w:szCs w:val="22"/>
        </w:rPr>
        <w:t xml:space="preserve">Le système fiscal tunisien repose sur trois grandes catégories d’impôts, chacune ayant ses propres règles d’assiette, de liquidation et de déclaration.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Catégorie</w:t>
            </w:r>
          </w:p>
        </w:tc>
        <w:tc>
          <w:tcPr>
            <w:tcW w:type="dxa" w:w="34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Principaux impôts</w:t>
            </w:r>
          </w:p>
        </w:tc>
        <w:tc>
          <w:tcPr>
            <w:tcW w:type="dxa" w:w="34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Contribuables concernés</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Impôts directs</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IRPP, IS</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Personnes physiques (IRPP), personnes morales (IS)</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Impôts indirects</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TVA, droits de consommation, droit de timbre</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Entreprises, contribuables assujettis à la TVA</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Taxes des collectivités locales</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TCL, taxe hôtelière, droit de licence</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Entreprises locales, établissements hôteliers</w:t>
            </w:r>
          </w:p>
        </w:tc>
      </w:tr>
    </w:tbl>
    <w:p>
      <w:pPr>
        <w:spacing w:after="160"/>
      </w:pPr>
      <w:r>
        <w:t xml:space="preserve"/>
      </w:r>
    </w:p>
    <w:p>
      <w:pPr>
        <w:pStyle w:val="Heading2"/>
        <w:spacing w:after="160" w:before="320"/>
      </w:pPr>
      <w:r>
        <w:rPr>
          <w:rFonts w:ascii="Calibri" w:cs="Calibri" w:eastAsia="Calibri" w:hAnsi="Calibri"/>
          <w:b/>
          <w:bCs/>
          <w:color w:val="1F3A68"/>
          <w:sz w:val="28"/>
          <w:szCs w:val="28"/>
        </w:rPr>
        <w:t xml:space="preserve">1.2. Les régimes d’imposition</w:t>
      </w:r>
    </w:p>
    <w:p>
      <w:pPr>
        <w:spacing w:after="120" w:before="0" w:line="320"/>
        <w:jc w:val="both"/>
      </w:pPr>
      <w:r>
        <w:rPr>
          <w:rFonts w:ascii="Calibri" w:cs="Calibri" w:eastAsia="Calibri" w:hAnsi="Calibri"/>
          <w:b w:val="false"/>
          <w:bCs w:val="false"/>
          <w:i w:val="false"/>
          <w:iCs w:val="false"/>
          <w:color w:val="1F2A37"/>
          <w:sz w:val="22"/>
          <w:szCs w:val="22"/>
        </w:rPr>
        <w:t xml:space="preserve">Les contribuables tunisiens relèvent de l’un des trois régimes d’imposition suivants, selon leur statut, leur activité et leur chiffre d’affaires :</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Régime réel : </w:t>
      </w:r>
      <w:r>
        <w:rPr>
          <w:rFonts w:ascii="Calibri" w:cs="Calibri" w:eastAsia="Calibri" w:hAnsi="Calibri"/>
          <w:b w:val="false"/>
          <w:bCs w:val="false"/>
          <w:i w:val="false"/>
          <w:iCs w:val="false"/>
          <w:color w:val="1F2A37"/>
          <w:sz w:val="22"/>
          <w:szCs w:val="22"/>
        </w:rPr>
        <w:t xml:space="preserve">tenue d’une comptabilité conforme aux normes comptables tunisiennes (NCT). Application des taux progressifs IRPP ou du taux IS en vigueur. Obligatoire pour les personnes morales et les personnes physiques dont le CA dépasse les seuils du régime forfaitaire.</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Régime forfaitaire (BIC) : </w:t>
      </w:r>
      <w:r>
        <w:rPr>
          <w:rFonts w:ascii="Calibri" w:cs="Calibri" w:eastAsia="Calibri" w:hAnsi="Calibri"/>
          <w:b w:val="false"/>
          <w:bCs w:val="false"/>
          <w:i w:val="false"/>
          <w:iCs w:val="false"/>
          <w:color w:val="1F2A37"/>
          <w:sz w:val="22"/>
          <w:szCs w:val="22"/>
        </w:rPr>
        <w:t xml:space="preserve">pour personnes physiques exerçant une activité commerciale ou artisanale avec CA ≤ 100 000 DT. LF 2026 (Art. 91) : impôt annuel forfaitaire de 4 000 DT/an si CA ≤ 50 000 DT (catégorie 1) ou 5 000 DT/an si CA entre 50 001 et 100 000 DT (catégorie 2). Réduction de 50 % en zone rurale. Exonération de contrôle fiscal pendant 6 ans.</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Régime auto-entrepreneur (Mibader Al-Dhati) : </w:t>
      </w:r>
      <w:r>
        <w:rPr>
          <w:rFonts w:ascii="Calibri" w:cs="Calibri" w:eastAsia="Calibri" w:hAnsi="Calibri"/>
          <w:b w:val="false"/>
          <w:bCs w:val="false"/>
          <w:i w:val="false"/>
          <w:iCs w:val="false"/>
          <w:color w:val="1F2A37"/>
          <w:sz w:val="22"/>
          <w:szCs w:val="22"/>
        </w:rPr>
        <w:t xml:space="preserve">institué par la loi 33/2020. Destiné aux travailleurs indépendants dont l’activité est limitée. Simplification des obligations déclaratives et comptables.</w:t>
      </w:r>
    </w:p>
    <w:p>
      <w:pPr>
        <w:pStyle w:val="Heading2"/>
        <w:spacing w:after="160" w:before="320"/>
      </w:pPr>
      <w:r>
        <w:rPr>
          <w:rFonts w:ascii="Calibri" w:cs="Calibri" w:eastAsia="Calibri" w:hAnsi="Calibri"/>
          <w:b/>
          <w:bCs/>
          <w:color w:val="1F3A68"/>
          <w:sz w:val="28"/>
          <w:szCs w:val="28"/>
        </w:rPr>
        <w:t xml:space="preserve">1.3. Le barème IRPP en vigueur</w:t>
      </w:r>
    </w:p>
    <w:p>
      <w:pPr>
        <w:spacing w:after="120" w:before="0" w:line="320"/>
        <w:jc w:val="both"/>
      </w:pPr>
      <w:r>
        <w:rPr>
          <w:rFonts w:ascii="Calibri" w:cs="Calibri" w:eastAsia="Calibri" w:hAnsi="Calibri"/>
          <w:b w:val="false"/>
          <w:bCs w:val="false"/>
          <w:i w:val="false"/>
          <w:iCs w:val="false"/>
          <w:color w:val="1F2A37"/>
          <w:sz w:val="22"/>
          <w:szCs w:val="22"/>
        </w:rPr>
        <w:t xml:space="preserve">L’impôt sur le revenu des personnes physiques (IRPP) est calculé par application du barème progressif suivant, conformément au Code de l’IRPP et de l’IS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400"/>
        <w:gridCol w:w="3360"/>
      </w:tblGrid>
      <w:tr>
        <w:trPr>
          <w:tblHeader/>
        </w:trPr>
        <w:tc>
          <w:tcPr>
            <w:tcW w:type="dxa" w:w="36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Tranche de revenu annuel (DT)</w:t>
            </w:r>
          </w:p>
        </w:tc>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Taux marginal</w:t>
            </w:r>
          </w:p>
        </w:tc>
        <w:tc>
          <w:tcPr>
            <w:tcW w:type="dxa" w:w="33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Taux effectif limite supérieure</w:t>
            </w:r>
          </w:p>
        </w:tc>
      </w:tr>
      <w:tr>
        <w:tc>
          <w:tcPr>
            <w:tcW w:type="dxa" w:w="3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0 à 5 000 DT</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0 %</w:t>
            </w:r>
          </w:p>
        </w:tc>
        <w:tc>
          <w:tcPr>
            <w:tcW w:type="dxa" w:w="33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r>
      <w:tr>
        <w:tc>
          <w:tcPr>
            <w:tcW w:type="dxa" w:w="3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5 000,001 à 20 000 DT</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26 %</w:t>
            </w:r>
          </w:p>
        </w:tc>
        <w:tc>
          <w:tcPr>
            <w:tcW w:type="dxa" w:w="33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19,50 %</w:t>
            </w:r>
          </w:p>
        </w:tc>
      </w:tr>
      <w:tr>
        <w:tc>
          <w:tcPr>
            <w:tcW w:type="dxa" w:w="3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20 000,001 à 30 000 DT</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28 %</w:t>
            </w:r>
          </w:p>
        </w:tc>
        <w:tc>
          <w:tcPr>
            <w:tcW w:type="dxa" w:w="33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22,33 %</w:t>
            </w:r>
          </w:p>
        </w:tc>
      </w:tr>
      <w:tr>
        <w:tc>
          <w:tcPr>
            <w:tcW w:type="dxa" w:w="3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30 000,001 à 50 000 DT</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32 %</w:t>
            </w:r>
          </w:p>
        </w:tc>
        <w:tc>
          <w:tcPr>
            <w:tcW w:type="dxa" w:w="33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26,20 %</w:t>
            </w:r>
          </w:p>
        </w:tc>
      </w:tr>
      <w:tr>
        <w:tc>
          <w:tcPr>
            <w:tcW w:type="dxa" w:w="3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Au-delà de 50 000 DT</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C0392B"/>
                <w:sz w:val="20"/>
                <w:szCs w:val="20"/>
              </w:rPr>
              <w:t xml:space="preserve">35 %</w:t>
            </w:r>
          </w:p>
        </w:tc>
        <w:tc>
          <w:tcPr>
            <w:tcW w:type="dxa" w:w="33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r>
    </w:tbl>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D4A017"/>
                <w:sz w:val="22"/>
                <w:szCs w:val="22"/>
              </w:rPr>
              <w:t xml:space="preserve">Minimum d’impôt IRPP</w:t>
            </w:r>
          </w:p>
          <w:p>
            <w:pPr>
              <w:spacing w:after="60" w:line="300"/>
            </w:pPr>
            <w:r>
              <w:rPr>
                <w:rFonts w:ascii="Calibri" w:cs="Calibri" w:eastAsia="Calibri" w:hAnsi="Calibri"/>
                <w:color w:val="1F2A37"/>
                <w:sz w:val="21"/>
                <w:szCs w:val="21"/>
              </w:rPr>
              <w:t xml:space="preserve">• 0,2 % du chiffre d’affaires réalisé localement, avec un minimum de 300 DT.</w:t>
            </w:r>
          </w:p>
          <w:p>
            <w:pPr>
              <w:spacing w:after="60" w:line="300"/>
            </w:pPr>
            <w:r>
              <w:rPr>
                <w:rFonts w:ascii="Calibri" w:cs="Calibri" w:eastAsia="Calibri" w:hAnsi="Calibri"/>
                <w:color w:val="1F2A37"/>
                <w:sz w:val="21"/>
                <w:szCs w:val="21"/>
              </w:rPr>
              <w:t xml:space="preserve">• 0,1 % du chiffre d’affaires à l’export, avec un minimum de 200 DT.</w:t>
            </w:r>
          </w:p>
          <w:p>
            <w:pPr>
              <w:spacing w:after="60" w:line="300"/>
            </w:pPr>
            <w:r>
              <w:rPr>
                <w:rFonts w:ascii="Calibri" w:cs="Calibri" w:eastAsia="Calibri" w:hAnsi="Calibri"/>
                <w:color w:val="1F2A37"/>
                <w:sz w:val="21"/>
                <w:szCs w:val="21"/>
              </w:rPr>
              <w:t xml:space="preserve">Ce minimum est dû même en cas de déficit, sauf pour les entreprises en première année d’activité.</w:t>
            </w:r>
          </w:p>
        </w:tc>
      </w:tr>
    </w:tbl>
    <w:p>
      <w:pPr>
        <w:spacing w:after="120"/>
      </w:pPr>
      <w:r>
        <w:t xml:space="preserve"/>
      </w:r>
    </w:p>
    <w:p>
      <w:pPr>
        <w:pStyle w:val="Heading2"/>
        <w:spacing w:after="160" w:before="320"/>
      </w:pPr>
      <w:r>
        <w:rPr>
          <w:rFonts w:ascii="Calibri" w:cs="Calibri" w:eastAsia="Calibri" w:hAnsi="Calibri"/>
          <w:b/>
          <w:bCs/>
          <w:color w:val="1F3A68"/>
          <w:sz w:val="28"/>
          <w:szCs w:val="28"/>
        </w:rPr>
        <w:t xml:space="preserve">1.4. Les taux d’IS applicables</w:t>
      </w:r>
    </w:p>
    <w:p>
      <w:pPr>
        <w:spacing w:after="120" w:before="0" w:line="320"/>
        <w:jc w:val="both"/>
      </w:pPr>
      <w:r>
        <w:rPr>
          <w:rFonts w:ascii="Calibri" w:cs="Calibri" w:eastAsia="Calibri" w:hAnsi="Calibri"/>
          <w:b w:val="false"/>
          <w:bCs w:val="false"/>
          <w:i w:val="false"/>
          <w:iCs w:val="false"/>
          <w:color w:val="1F2A37"/>
          <w:sz w:val="22"/>
          <w:szCs w:val="22"/>
        </w:rPr>
        <w:t xml:space="preserve">L’impôt sur les sociétés (IS) est calculé selon des taux différenciés en fonction du secteur d’activité et du statut de l’entreprise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960"/>
        <w:gridCol w:w="2400"/>
      </w:tblGrid>
      <w:tr>
        <w:trPr>
          <w:tblHeader/>
        </w:trPr>
        <w:tc>
          <w:tcPr>
            <w:tcW w:type="dxa" w:w="69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Catégorie de société</w:t>
            </w:r>
          </w:p>
        </w:tc>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Taux IS</w:t>
            </w:r>
          </w:p>
        </w:tc>
      </w:tr>
      <w:tr>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Taux général (depuis LF 2021)</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15 %</w:t>
            </w:r>
          </w:p>
        </w:tc>
      </w:tr>
      <w:tr>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Artisanat, agriculture, pêche, export, coopératives, soutien aux entreprises</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10 %</w:t>
            </w:r>
          </w:p>
        </w:tc>
      </w:tr>
      <w:tr>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Sociétés cotées en bourse (ouverture capital ≥ 30 %)</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20 %</w:t>
            </w:r>
          </w:p>
        </w:tc>
      </w:tr>
      <w:tr>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PM intermédiaires (nouveauté LF 2025)</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20 %</w:t>
            </w:r>
          </w:p>
        </w:tc>
      </w:tr>
      <w:tr>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Secteur financier (banques), télécoms, assurances, pétrolier, tabac</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C0392B"/>
                <w:sz w:val="20"/>
                <w:szCs w:val="20"/>
              </w:rPr>
              <w:t xml:space="preserve">35 %</w:t>
            </w:r>
          </w:p>
        </w:tc>
      </w:tr>
      <w:tr>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Grandes banques et principaux opérateurs télécoms</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C0392B"/>
                <w:sz w:val="20"/>
                <w:szCs w:val="20"/>
              </w:rPr>
              <w:t xml:space="preserve">40 %</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A68"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1F3A68"/>
                <w:sz w:val="22"/>
                <w:szCs w:val="22"/>
              </w:rPr>
              <w:t xml:space="preserve">Minimum d’impôt IS</w:t>
            </w:r>
          </w:p>
          <w:p>
            <w:pPr>
              <w:spacing w:after="60" w:line="300"/>
            </w:pPr>
            <w:r>
              <w:rPr>
                <w:rFonts w:ascii="Calibri" w:cs="Calibri" w:eastAsia="Calibri" w:hAnsi="Calibri"/>
                <w:color w:val="1F2A37"/>
                <w:sz w:val="21"/>
                <w:szCs w:val="21"/>
              </w:rPr>
              <w:t xml:space="preserve">Les sociétés soumises à l’IS sont redevables d’un minimum d’impôt égal à :</w:t>
            </w:r>
          </w:p>
          <w:p>
            <w:pPr>
              <w:spacing w:after="60" w:line="300"/>
            </w:pPr>
            <w:r>
              <w:rPr>
                <w:rFonts w:ascii="Calibri" w:cs="Calibri" w:eastAsia="Calibri" w:hAnsi="Calibri"/>
                <w:color w:val="1F2A37"/>
                <w:sz w:val="21"/>
                <w:szCs w:val="21"/>
              </w:rPr>
              <w:t xml:space="preserve">• 0,2 % du chiffre d’affaires brut local (minimum 500 DT).</w:t>
            </w:r>
          </w:p>
          <w:p>
            <w:pPr>
              <w:spacing w:after="60" w:line="300"/>
            </w:pPr>
            <w:r>
              <w:rPr>
                <w:rFonts w:ascii="Calibri" w:cs="Calibri" w:eastAsia="Calibri" w:hAnsi="Calibri"/>
                <w:color w:val="1F2A37"/>
                <w:sz w:val="21"/>
                <w:szCs w:val="21"/>
              </w:rPr>
              <w:t xml:space="preserve">• 0,1 % du chiffre d’affaires à l’exportation (minimum 300 DT).</w:t>
            </w:r>
          </w:p>
          <w:p>
            <w:pPr>
              <w:spacing w:after="60" w:line="300"/>
            </w:pPr>
            <w:r>
              <w:rPr>
                <w:rFonts w:ascii="Calibri" w:cs="Calibri" w:eastAsia="Calibri" w:hAnsi="Calibri"/>
                <w:color w:val="1F2A37"/>
                <w:sz w:val="21"/>
                <w:szCs w:val="21"/>
              </w:rPr>
              <w:t xml:space="preserve">Ce minimum est exigible même en cas de déficit.</w:t>
            </w:r>
          </w:p>
        </w:tc>
      </w:tr>
    </w:tbl>
    <w:p>
      <w:r>
        <w:br w:type="page"/>
      </w:r>
    </w:p>
    <w:p>
      <w:pPr>
        <w:pStyle w:val="Heading1"/>
        <w:spacing w:after="220" w:before="480"/>
      </w:pPr>
      <w:r>
        <w:rPr>
          <w:rFonts w:ascii="Calibri" w:cs="Calibri" w:eastAsia="Calibri" w:hAnsi="Calibri"/>
          <w:b/>
          <w:bCs/>
          <w:color w:val="13243F"/>
          <w:sz w:val="36"/>
          <w:szCs w:val="36"/>
        </w:rPr>
        <w:t xml:space="preserve">Partie II — Les déclarations mensuelles</w:t>
      </w:r>
    </w:p>
    <w:p>
      <w:pPr>
        <w:pStyle w:val="Heading2"/>
        <w:spacing w:after="160" w:before="320"/>
      </w:pPr>
      <w:r>
        <w:rPr>
          <w:rFonts w:ascii="Calibri" w:cs="Calibri" w:eastAsia="Calibri" w:hAnsi="Calibri"/>
          <w:b/>
          <w:bCs/>
          <w:color w:val="1F3A68"/>
          <w:sz w:val="28"/>
          <w:szCs w:val="28"/>
        </w:rPr>
        <w:t xml:space="preserve">2.1. La déclaration mensuelle : pivot du système</w:t>
      </w:r>
    </w:p>
    <w:p>
      <w:pPr>
        <w:spacing w:after="120" w:before="0" w:line="320"/>
        <w:jc w:val="both"/>
      </w:pPr>
      <w:r>
        <w:rPr>
          <w:rFonts w:ascii="Calibri" w:cs="Calibri" w:eastAsia="Calibri" w:hAnsi="Calibri"/>
          <w:b w:val="false"/>
          <w:bCs w:val="false"/>
          <w:i w:val="false"/>
          <w:iCs w:val="false"/>
          <w:color w:val="1F2A37"/>
          <w:sz w:val="22"/>
          <w:szCs w:val="22"/>
        </w:rPr>
        <w:t xml:space="preserve">La déclaration mensuelle constitue le pivot du système déclaratif tunisien. Elle regroupe dans un formulaire unique l’ensemble des taxes et prélèvements exigibles au titre du mois écoulé. Les délais de dépôt varient selon le statut du contribuable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Catégorie de contribuable</w:t>
            </w:r>
          </w:p>
        </w:tc>
        <w:tc>
          <w:tcPr>
            <w:tcW w:type="dxa" w:w="46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Délai de dépôt</w:t>
            </w:r>
          </w:p>
        </w:tc>
      </w:tr>
      <w:tr>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Personne physique (PP) — régime réel</w:t>
            </w:r>
          </w:p>
        </w:tc>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Avant le 15 du mois suivant</w:t>
            </w:r>
          </w:p>
        </w:tc>
      </w:tr>
      <w:tr>
        <w:tc>
          <w:tcPr>
            <w:tcW w:type="dxa" w:w="46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Personne morale (PM) — télédéclarant (E-Jebeya)</w:t>
            </w:r>
          </w:p>
        </w:tc>
        <w:tc>
          <w:tcPr>
            <w:tcW w:type="dxa" w:w="46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3A68"/>
                <w:sz w:val="20"/>
                <w:szCs w:val="20"/>
              </w:rPr>
              <w:t xml:space="preserve">Avant le 20 du mois suivant</w:t>
            </w:r>
          </w:p>
        </w:tc>
      </w:tr>
      <w:tr>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Personne morale (PM) — non télédéclarant</w:t>
            </w:r>
          </w:p>
        </w:tc>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Avant le 28 du mois suivant</w:t>
            </w:r>
          </w:p>
        </w:tc>
      </w:tr>
    </w:tbl>
    <w:p>
      <w:pPr>
        <w:spacing w:after="120"/>
      </w:pPr>
      <w:r>
        <w:t xml:space="preserve"/>
      </w:r>
    </w:p>
    <w:p>
      <w:pPr>
        <w:pStyle w:val="Heading2"/>
        <w:spacing w:after="160" w:before="320"/>
      </w:pPr>
      <w:r>
        <w:rPr>
          <w:rFonts w:ascii="Calibri" w:cs="Calibri" w:eastAsia="Calibri" w:hAnsi="Calibri"/>
          <w:b/>
          <w:bCs/>
          <w:color w:val="1F3A68"/>
          <w:sz w:val="28"/>
          <w:szCs w:val="28"/>
        </w:rPr>
        <w:t xml:space="preserve">2.2. Les composantes de la déclaration mensuelle</w:t>
      </w:r>
    </w:p>
    <w:p>
      <w:pPr>
        <w:spacing w:after="120" w:before="0" w:line="320"/>
        <w:jc w:val="both"/>
      </w:pPr>
      <w:r>
        <w:rPr>
          <w:rFonts w:ascii="Calibri" w:cs="Calibri" w:eastAsia="Calibri" w:hAnsi="Calibri"/>
          <w:b w:val="false"/>
          <w:bCs w:val="false"/>
          <w:i w:val="false"/>
          <w:iCs w:val="false"/>
          <w:color w:val="1F2A37"/>
          <w:sz w:val="22"/>
          <w:szCs w:val="22"/>
        </w:rPr>
        <w:t xml:space="preserve">Le formulaire mensuel regroupe l’ensemble des taxes déclarables. Le tableau ci-dessous présente chaque composante avec son assiette et son taux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760"/>
        <w:gridCol w:w="2800"/>
      </w:tblGrid>
      <w:tr>
        <w:trPr>
          <w:tblHeader/>
        </w:trPr>
        <w:tc>
          <w:tcPr>
            <w:tcW w:type="dxa" w:w="28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Type de taxe</w:t>
            </w:r>
          </w:p>
        </w:tc>
        <w:tc>
          <w:tcPr>
            <w:tcW w:type="dxa" w:w="37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Assiette</w:t>
            </w:r>
          </w:p>
        </w:tc>
        <w:tc>
          <w:tcPr>
            <w:tcW w:type="dxa" w:w="28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Taux / Montant</w:t>
            </w:r>
          </w:p>
        </w:tc>
      </w:tr>
      <w:tr>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Retenue à la source (RS)</w:t>
            </w:r>
          </w:p>
        </w:tc>
        <w:tc>
          <w:tcPr>
            <w:tcW w:type="dxa" w:w="3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Montants payés selon nature opération</w:t>
            </w:r>
          </w:p>
        </w:tc>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0,5 % à 33,33 %</w:t>
            </w:r>
          </w:p>
        </w:tc>
      </w:tr>
      <w:tr>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Taxe de Formation Professionnelle (TFP)</w:t>
            </w:r>
          </w:p>
        </w:tc>
        <w:tc>
          <w:tcPr>
            <w:tcW w:type="dxa" w:w="3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Masse salariale brute</w:t>
            </w:r>
          </w:p>
        </w:tc>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1 % industrie, 2 % autres</w:t>
            </w:r>
          </w:p>
        </w:tc>
      </w:tr>
      <w:tr>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FOPROLOS</w:t>
            </w:r>
          </w:p>
        </w:tc>
        <w:tc>
          <w:tcPr>
            <w:tcW w:type="dxa" w:w="3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Salaire brut total</w:t>
            </w:r>
          </w:p>
        </w:tc>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1 %</w:t>
            </w:r>
          </w:p>
        </w:tc>
      </w:tr>
      <w:tr>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Droit de Consommation (DC)</w:t>
            </w:r>
          </w:p>
        </w:tc>
        <w:tc>
          <w:tcPr>
            <w:tcW w:type="dxa" w:w="3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Prix de vente HT des produits concernés</w:t>
            </w:r>
          </w:p>
        </w:tc>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Variable (loi)</w:t>
            </w:r>
          </w:p>
        </w:tc>
      </w:tr>
      <w:tr>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TVA</w:t>
            </w:r>
          </w:p>
        </w:tc>
        <w:tc>
          <w:tcPr>
            <w:tcW w:type="dxa" w:w="3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Différence TVA collectée − TVA déductible</w:t>
            </w:r>
          </w:p>
        </w:tc>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18 % / 12 % / 6 %</w:t>
            </w:r>
          </w:p>
        </w:tc>
      </w:tr>
      <w:tr>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FODEC / FDCST / FASP</w:t>
            </w:r>
          </w:p>
        </w:tc>
        <w:tc>
          <w:tcPr>
            <w:tcW w:type="dxa" w:w="3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Chiffre d’affaires HT</w:t>
            </w:r>
          </w:p>
        </w:tc>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1 % chacun</w:t>
            </w:r>
          </w:p>
        </w:tc>
      </w:tr>
      <w:tr>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Droit de Timbre Fiscal</w:t>
            </w:r>
          </w:p>
        </w:tc>
        <w:tc>
          <w:tcPr>
            <w:tcW w:type="dxa" w:w="3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Par document / facture</w:t>
            </w:r>
          </w:p>
        </w:tc>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 DT (1,5-2 DT LF 2026)</w:t>
            </w:r>
          </w:p>
        </w:tc>
      </w:tr>
      <w:tr>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Taxes sur les assurances</w:t>
            </w:r>
          </w:p>
        </w:tc>
        <w:tc>
          <w:tcPr>
            <w:tcW w:type="dxa" w:w="3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Primes émises</w:t>
            </w:r>
          </w:p>
        </w:tc>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5 % maritime/aérien, 10 % autres</w:t>
            </w:r>
          </w:p>
        </w:tc>
      </w:tr>
      <w:tr>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TCL (Taxe sur les Collectivités Locales)</w:t>
            </w:r>
          </w:p>
        </w:tc>
        <w:tc>
          <w:tcPr>
            <w:tcW w:type="dxa" w:w="3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Chiffre d’affaires brut</w:t>
            </w:r>
          </w:p>
        </w:tc>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0,2 % local / 0,1 % export</w:t>
            </w:r>
          </w:p>
        </w:tc>
      </w:tr>
      <w:tr>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Taxe hôtelière</w:t>
            </w:r>
          </w:p>
        </w:tc>
        <w:tc>
          <w:tcPr>
            <w:tcW w:type="dxa" w:w="3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Chiffre d’affaires brut</w:t>
            </w:r>
          </w:p>
        </w:tc>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2 %</w:t>
            </w:r>
          </w:p>
        </w:tc>
      </w:tr>
      <w:tr>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CSS (Contribution Sociale Solidaire)</w:t>
            </w:r>
          </w:p>
        </w:tc>
        <w:tc>
          <w:tcPr>
            <w:tcW w:type="dxa" w:w="3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Salaire brut</w:t>
            </w:r>
          </w:p>
        </w:tc>
        <w:tc>
          <w:tcPr>
            <w:tcW w:type="dxa" w:w="2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0,5 % (LF 2026 maintien)</w:t>
            </w:r>
          </w:p>
        </w:tc>
      </w:tr>
      <w:tr>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Droit de licence</w:t>
            </w:r>
          </w:p>
        </w:tc>
        <w:tc>
          <w:tcPr>
            <w:tcW w:type="dxa" w:w="3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Forfait selon activité</w:t>
            </w:r>
          </w:p>
        </w:tc>
        <w:tc>
          <w:tcPr>
            <w:tcW w:type="dxa" w:w="2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Montant forfaitaire</w:t>
            </w:r>
          </w:p>
        </w:tc>
      </w:tr>
    </w:tbl>
    <w:p>
      <w:pPr>
        <w:spacing w:after="160"/>
      </w:pPr>
      <w:r>
        <w:t xml:space="preserve"/>
      </w:r>
    </w:p>
    <w:p>
      <w:pPr>
        <w:pStyle w:val="Heading2"/>
        <w:spacing w:after="160" w:before="320"/>
      </w:pPr>
      <w:r>
        <w:rPr>
          <w:rFonts w:ascii="Calibri" w:cs="Calibri" w:eastAsia="Calibri" w:hAnsi="Calibri"/>
          <w:b/>
          <w:bCs/>
          <w:color w:val="1F3A68"/>
          <w:sz w:val="28"/>
          <w:szCs w:val="28"/>
        </w:rPr>
        <w:t xml:space="preserve">2.3. Focus : TFP, FOPROLOS et exonérations</w:t>
      </w:r>
    </w:p>
    <w:p>
      <w:pPr>
        <w:pStyle w:val="Heading3"/>
        <w:spacing w:after="120" w:before="240"/>
      </w:pPr>
      <w:r>
        <w:rPr>
          <w:rFonts w:ascii="Calibri" w:cs="Calibri" w:eastAsia="Calibri" w:hAnsi="Calibri"/>
          <w:b/>
          <w:bCs/>
          <w:color w:val="1F3A68"/>
          <w:sz w:val="24"/>
          <w:szCs w:val="24"/>
        </w:rPr>
        <w:t xml:space="preserve">Taxe de Formation Professionnelle (TFP)</w:t>
      </w:r>
    </w:p>
    <w:p>
      <w:pPr>
        <w:spacing w:after="120" w:before="0" w:line="320"/>
        <w:jc w:val="both"/>
      </w:pPr>
      <w:r>
        <w:rPr>
          <w:rFonts w:ascii="Calibri" w:cs="Calibri" w:eastAsia="Calibri" w:hAnsi="Calibri"/>
          <w:b w:val="false"/>
          <w:bCs w:val="false"/>
          <w:i w:val="false"/>
          <w:iCs w:val="false"/>
          <w:color w:val="1F2A37"/>
          <w:sz w:val="22"/>
          <w:szCs w:val="22"/>
        </w:rPr>
        <w:t xml:space="preserve">La TFP est parfois qualifiée de « taxe à la non-formation ». Son produit est versé au Centre National de Formation Continue et de Promotion Professionnelle (CNFCPP). Les taux sont :</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1 % de la masse salariale brute pour les entreprises du secteur industriel (manufactures, usines, ateliers).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2 % de la masse salariale brute pour les entreprises des secteurs des services, du commerce et des professions libérales.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D4A017"/>
                <w:sz w:val="22"/>
                <w:szCs w:val="22"/>
              </w:rPr>
              <w:t xml:space="preserve">Exonérations TFP</w:t>
            </w:r>
          </w:p>
          <w:p>
            <w:pPr>
              <w:spacing w:after="60" w:line="300"/>
            </w:pPr>
            <w:r>
              <w:rPr>
                <w:rFonts w:ascii="Calibri" w:cs="Calibri" w:eastAsia="Calibri" w:hAnsi="Calibri"/>
                <w:color w:val="1F2A37"/>
                <w:sz w:val="21"/>
                <w:szCs w:val="21"/>
              </w:rPr>
              <w:t xml:space="preserve">• Entreprises totalement exportatrices.</w:t>
            </w:r>
          </w:p>
          <w:p>
            <w:pPr>
              <w:spacing w:after="60" w:line="300"/>
            </w:pPr>
            <w:r>
              <w:rPr>
                <w:rFonts w:ascii="Calibri" w:cs="Calibri" w:eastAsia="Calibri" w:hAnsi="Calibri"/>
                <w:color w:val="1F2A37"/>
                <w:sz w:val="21"/>
                <w:szCs w:val="21"/>
              </w:rPr>
              <w:t xml:space="preserve">• Entreprises implantées dans les zones de développement régional (ZDR) pendant la période de déduction totale.</w:t>
            </w:r>
          </w:p>
          <w:p>
            <w:pPr>
              <w:spacing w:after="60" w:line="300"/>
            </w:pPr>
            <w:r>
              <w:rPr>
                <w:rFonts w:ascii="Calibri" w:cs="Calibri" w:eastAsia="Calibri" w:hAnsi="Calibri"/>
                <w:color w:val="1F2A37"/>
                <w:sz w:val="21"/>
                <w:szCs w:val="21"/>
              </w:rPr>
              <w:t xml:space="preserve">• Certaines associations reconnues d’utilité publique.</w:t>
            </w:r>
          </w:p>
        </w:tc>
      </w:tr>
    </w:tbl>
    <w:p>
      <w:pPr>
        <w:pStyle w:val="Heading3"/>
        <w:spacing w:after="120" w:before="240"/>
      </w:pPr>
      <w:r>
        <w:rPr>
          <w:rFonts w:ascii="Calibri" w:cs="Calibri" w:eastAsia="Calibri" w:hAnsi="Calibri"/>
          <w:b/>
          <w:bCs/>
          <w:color w:val="1F3A68"/>
          <w:sz w:val="24"/>
          <w:szCs w:val="24"/>
        </w:rPr>
        <w:t xml:space="preserve">FOPROLOS (Fonds de Promotion du Logement pour les Salariés)</w:t>
      </w:r>
    </w:p>
    <w:p>
      <w:pPr>
        <w:spacing w:after="120" w:before="0" w:line="320"/>
        <w:jc w:val="both"/>
      </w:pPr>
      <w:r>
        <w:rPr>
          <w:rFonts w:ascii="Calibri" w:cs="Calibri" w:eastAsia="Calibri" w:hAnsi="Calibri"/>
          <w:b w:val="false"/>
          <w:bCs w:val="false"/>
          <w:i w:val="false"/>
          <w:iCs w:val="false"/>
          <w:color w:val="1F2A37"/>
          <w:sz w:val="22"/>
          <w:szCs w:val="22"/>
        </w:rPr>
        <w:t xml:space="preserve">Le FOPROLOS est une contribution de 1 % de la masse salariale brute destinée à financer l’accès au logement des salariés. Il est déclaré et payé dans le cadre de la déclaration mensuelle de l’employeur.</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Exonéré pour les entreprises totalement exportatrices.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Exonéré pour les très petites entreprises (TPE) dont le nombre de salariés est inférieur au seuil fixé.</w:t>
      </w:r>
    </w:p>
    <w:p>
      <w:pPr>
        <w:pStyle w:val="Heading3"/>
        <w:spacing w:after="120" w:before="240"/>
      </w:pPr>
      <w:r>
        <w:rPr>
          <w:rFonts w:ascii="Calibri" w:cs="Calibri" w:eastAsia="Calibri" w:hAnsi="Calibri"/>
          <w:b/>
          <w:bCs/>
          <w:color w:val="1F3A68"/>
          <w:sz w:val="24"/>
          <w:szCs w:val="24"/>
        </w:rPr>
        <w:t xml:space="preserve">Droit de Timbre Fiscal (LF 2026)</w:t>
      </w:r>
    </w:p>
    <w:p>
      <w:pPr>
        <w:spacing w:after="120" w:before="0" w:line="320"/>
        <w:jc w:val="both"/>
      </w:pPr>
      <w:r>
        <w:rPr>
          <w:rFonts w:ascii="Calibri" w:cs="Calibri" w:eastAsia="Calibri" w:hAnsi="Calibri"/>
          <w:b w:val="false"/>
          <w:bCs w:val="false"/>
          <w:i w:val="false"/>
          <w:iCs w:val="false"/>
          <w:color w:val="1F2A37"/>
          <w:sz w:val="22"/>
          <w:szCs w:val="22"/>
        </w:rPr>
        <w:t xml:space="preserve">Le droit de timbre fiscal a été révisé par la LF 2026 pour les grandes surfaces commerciales :</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1 DT par facture standard.</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1,5 DT pour les factures de 50 à 100 DT dans les grandes surfaces.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2 DT pour les factures supérieures à 100 DT dans les grandes surfaces.</w:t>
      </w:r>
    </w:p>
    <w:p>
      <w:pPr>
        <w:spacing w:after="120"/>
      </w:pPr>
      <w:r>
        <w:t xml:space="preserve"/>
      </w:r>
    </w:p>
    <w:p>
      <w:pPr>
        <w:pStyle w:val="Heading2"/>
        <w:spacing w:after="160" w:before="320"/>
      </w:pPr>
      <w:r>
        <w:rPr>
          <w:rFonts w:ascii="Calibri" w:cs="Calibri" w:eastAsia="Calibri" w:hAnsi="Calibri"/>
          <w:b/>
          <w:bCs/>
          <w:color w:val="1F3A68"/>
          <w:sz w:val="28"/>
          <w:szCs w:val="28"/>
        </w:rPr>
        <w:t xml:space="preserve">2.4. La télédéclaration via E-Jebeya</w:t>
      </w:r>
    </w:p>
    <w:p>
      <w:pPr>
        <w:spacing w:after="120" w:before="0" w:line="320"/>
        <w:jc w:val="both"/>
      </w:pPr>
      <w:r>
        <w:rPr>
          <w:rFonts w:ascii="Calibri" w:cs="Calibri" w:eastAsia="Calibri" w:hAnsi="Calibri"/>
          <w:b w:val="false"/>
          <w:bCs w:val="false"/>
          <w:i w:val="false"/>
          <w:iCs w:val="false"/>
          <w:color w:val="1F2A37"/>
          <w:sz w:val="22"/>
          <w:szCs w:val="22"/>
        </w:rPr>
        <w:t xml:space="preserve">La plateforme E-Jebeya est le portail officiel de télédéclaration fiscale géré par la Direction Générale des Impôts (DGI), accessible à l’adresse :</w:t>
      </w:r>
    </w:p>
    <w:p>
      <w:pPr>
        <w:spacing w:after="120" w:before="0" w:line="320"/>
        <w:jc w:val="center"/>
      </w:pPr>
      <w:hyperlink w:history="1" r:id="rIdnoglruwxp7mmmluidfqhi">
        <w:r>
          <w:rPr>
            <w:rFonts w:ascii="Calibri" w:cs="Calibri" w:eastAsia="Calibri" w:hAnsi="Calibri"/>
            <w:color w:val="0563C1"/>
            <w:sz w:val="22"/>
            <w:szCs w:val="22"/>
            <w:u w:val="single"/>
          </w:rPr>
          <w:t xml:space="preserve">www.impots.finances.gov.tn</w:t>
        </w:r>
      </w:hyperlink>
    </w:p>
    <w:p>
      <w:pPr>
        <w:spacing w:after="120" w:before="0" w:line="320"/>
        <w:jc w:val="both"/>
      </w:pPr>
      <w:r>
        <w:rPr>
          <w:rFonts w:ascii="Calibri" w:cs="Calibri" w:eastAsia="Calibri" w:hAnsi="Calibri"/>
          <w:b w:val="false"/>
          <w:bCs w:val="false"/>
          <w:i w:val="false"/>
          <w:iCs w:val="false"/>
          <w:color w:val="1F2A37"/>
          <w:sz w:val="22"/>
          <w:szCs w:val="22"/>
        </w:rPr>
        <w:t xml:space="preserve">L’adhésion à E-Jebeya est obligatoire pour les contribuables relevant du régime réel et certaines catégories de contribuables définis par arrêté. Elle offre un avantage de calendrier : le délai de déclaration mensuelle est reporté au 20 du mois suivant (au lieu du 28 pour les non télédéclarants).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A68"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1F3A68"/>
                <w:sz w:val="22"/>
                <w:szCs w:val="22"/>
              </w:rPr>
              <w:t xml:space="preserve">Conditions d’accès à E-Jebeya</w:t>
            </w:r>
          </w:p>
          <w:p>
            <w:pPr>
              <w:spacing w:after="60" w:line="300"/>
            </w:pPr>
            <w:r>
              <w:rPr>
                <w:rFonts w:ascii="Calibri" w:cs="Calibri" w:eastAsia="Calibri" w:hAnsi="Calibri"/>
                <w:color w:val="1F2A37"/>
                <w:sz w:val="21"/>
                <w:szCs w:val="21"/>
              </w:rPr>
              <w:t xml:space="preserve">• Certificat électronique délivré par l’ANCE (Agence Nationale de Certification Électronique) ou DIGIGO, sur clé USB.</w:t>
            </w:r>
          </w:p>
          <w:p>
            <w:pPr>
              <w:spacing w:after="60" w:line="300"/>
            </w:pPr>
            <w:r>
              <w:rPr>
                <w:rFonts w:ascii="Calibri" w:cs="Calibri" w:eastAsia="Calibri" w:hAnsi="Calibri"/>
                <w:color w:val="1F2A37"/>
                <w:sz w:val="21"/>
                <w:szCs w:val="21"/>
              </w:rPr>
              <w:t xml:space="preserve">• Procédure d’adhésion : dépôt d’un dossier auprès du bureau de contrôle des impôts compétent.</w:t>
            </w:r>
          </w:p>
          <w:p>
            <w:pPr>
              <w:spacing w:after="60" w:line="300"/>
            </w:pPr>
            <w:r>
              <w:rPr>
                <w:rFonts w:ascii="Calibri" w:cs="Calibri" w:eastAsia="Calibri" w:hAnsi="Calibri"/>
                <w:color w:val="1F2A37"/>
                <w:sz w:val="21"/>
                <w:szCs w:val="21"/>
              </w:rPr>
              <w:t xml:space="preserve">• Connexion sécurisée via le portail impots.finances.gov.tn avec authentification électronique.</w:t>
            </w:r>
          </w:p>
        </w:tc>
      </w:tr>
    </w:tbl>
    <w:p>
      <w:r>
        <w:br w:type="page"/>
      </w:r>
    </w:p>
    <w:p>
      <w:pPr>
        <w:pStyle w:val="Heading1"/>
        <w:spacing w:after="220" w:before="480"/>
      </w:pPr>
      <w:r>
        <w:rPr>
          <w:rFonts w:ascii="Calibri" w:cs="Calibri" w:eastAsia="Calibri" w:hAnsi="Calibri"/>
          <w:b/>
          <w:bCs/>
          <w:color w:val="13243F"/>
          <w:sz w:val="36"/>
          <w:szCs w:val="36"/>
        </w:rPr>
        <w:t xml:space="preserve">Partie III — Les déclarations annuelles et acomptes</w:t>
      </w:r>
    </w:p>
    <w:p>
      <w:pPr>
        <w:pStyle w:val="Heading2"/>
        <w:spacing w:after="160" w:before="320"/>
      </w:pPr>
      <w:r>
        <w:rPr>
          <w:rFonts w:ascii="Calibri" w:cs="Calibri" w:eastAsia="Calibri" w:hAnsi="Calibri"/>
          <w:b/>
          <w:bCs/>
          <w:color w:val="1F3A68"/>
          <w:sz w:val="28"/>
          <w:szCs w:val="28"/>
        </w:rPr>
        <w:t xml:space="preserve">3.1. La déclaration annuelle IS (PM régime réel)</w:t>
      </w:r>
    </w:p>
    <w:p>
      <w:pPr>
        <w:spacing w:after="120" w:before="0" w:line="320"/>
        <w:jc w:val="both"/>
      </w:pPr>
      <w:r>
        <w:rPr>
          <w:rFonts w:ascii="Calibri" w:cs="Calibri" w:eastAsia="Calibri" w:hAnsi="Calibri"/>
          <w:b w:val="false"/>
          <w:bCs w:val="false"/>
          <w:i w:val="false"/>
          <w:iCs w:val="false"/>
          <w:color w:val="1F2A37"/>
          <w:sz w:val="22"/>
          <w:szCs w:val="22"/>
        </w:rPr>
        <w:t xml:space="preserve">La déclaration de l’impôt sur les sociétés (IS) est souscrite annuellement par les personnes morales soumises au régime réel. Le délai varie selon le type d’entreprise et l’exercice fiscal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Date limite</w:t>
            </w:r>
          </w:p>
        </w:tc>
        <w:tc>
          <w:tcPr>
            <w:tcW w:type="dxa" w:w="69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Catégorie concernée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mars</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Sociétés clôturant au 31 décembre et soumises à audit légal (commissaires aux comptes)</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mai</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Sociétés non auditées clôturant au 31 décembre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juin</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Sociétés du secteur agricole et de la pêche</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C0392B"/>
                <w:sz w:val="20"/>
                <w:szCs w:val="20"/>
              </w:rPr>
              <w:t xml:space="preserve">28 juin</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1er versement provisionnel IS (acompte provisionnel)</w:t>
            </w:r>
          </w:p>
        </w:tc>
      </w:tr>
    </w:tbl>
    <w:p>
      <w:pPr>
        <w:spacing w:after="120"/>
      </w:pPr>
      <w:r>
        <w:t xml:space="preserve"/>
      </w:r>
    </w:p>
    <w:p>
      <w:pPr>
        <w:pStyle w:val="Heading2"/>
        <w:spacing w:after="160" w:before="320"/>
      </w:pPr>
      <w:r>
        <w:rPr>
          <w:rFonts w:ascii="Calibri" w:cs="Calibri" w:eastAsia="Calibri" w:hAnsi="Calibri"/>
          <w:b/>
          <w:bCs/>
          <w:color w:val="1F3A68"/>
          <w:sz w:val="28"/>
          <w:szCs w:val="28"/>
        </w:rPr>
        <w:t xml:space="preserve">3.2. La déclaration annuelle IRPP (PP régime réel)</w:t>
      </w:r>
    </w:p>
    <w:p>
      <w:pPr>
        <w:spacing w:after="120" w:before="0" w:line="320"/>
        <w:jc w:val="both"/>
      </w:pPr>
      <w:r>
        <w:rPr>
          <w:rFonts w:ascii="Calibri" w:cs="Calibri" w:eastAsia="Calibri" w:hAnsi="Calibri"/>
          <w:b w:val="false"/>
          <w:bCs w:val="false"/>
          <w:i w:val="false"/>
          <w:iCs w:val="false"/>
          <w:color w:val="1F2A37"/>
          <w:sz w:val="22"/>
          <w:szCs w:val="22"/>
        </w:rPr>
        <w:t xml:space="preserve">Les personnes physiques (PP) soumises à l’IRPP au régime réel déclarent leurs revenus selon des délais différenciés par nature d’activité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Date limite</w:t>
            </w:r>
          </w:p>
        </w:tc>
        <w:tc>
          <w:tcPr>
            <w:tcW w:type="dxa" w:w="69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Catégorie / Nature de revenus</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5 mars</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Exploitants de véhicules de location et assimilés</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mars</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Revenus à régime réel et BIC sous régime forfaitaire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avril</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Commerçants au régime réel (BIC)</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mai</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Artisans, prestataires de services et professions libérales sous le régime réel (BNC)</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juin</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Activités agricoles</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juillet</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Activités sous régime forfaitaire BIC</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août</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Revenus fonciers, professions non commerciales sans dépendance (BNC indépendant)</w:t>
            </w:r>
          </w:p>
        </w:tc>
      </w:tr>
    </w:tbl>
    <w:p>
      <w:pPr>
        <w:spacing w:after="120"/>
      </w:pPr>
      <w:r>
        <w:t xml:space="preserve"/>
      </w:r>
    </w:p>
    <w:p>
      <w:pPr>
        <w:pStyle w:val="Heading2"/>
        <w:spacing w:after="160" w:before="320"/>
      </w:pPr>
      <w:r>
        <w:rPr>
          <w:rFonts w:ascii="Calibri" w:cs="Calibri" w:eastAsia="Calibri" w:hAnsi="Calibri"/>
          <w:b/>
          <w:bCs/>
          <w:color w:val="1F3A68"/>
          <w:sz w:val="28"/>
          <w:szCs w:val="28"/>
        </w:rPr>
        <w:t xml:space="preserve">3.3. Les acomptes provisionnels (AP)</w:t>
      </w:r>
    </w:p>
    <w:p>
      <w:pPr>
        <w:spacing w:after="120" w:before="0" w:line="320"/>
        <w:jc w:val="both"/>
      </w:pPr>
      <w:r>
        <w:rPr>
          <w:rFonts w:ascii="Calibri" w:cs="Calibri" w:eastAsia="Calibri" w:hAnsi="Calibri"/>
          <w:b w:val="false"/>
          <w:bCs w:val="false"/>
          <w:i w:val="false"/>
          <w:iCs w:val="false"/>
          <w:color w:val="1F2A37"/>
          <w:sz w:val="22"/>
          <w:szCs w:val="22"/>
        </w:rPr>
        <w:t xml:space="preserve">Le mécanisme des acomptes provisionnels permet à l’administration fiscale d’anticiper la collecte de l’IS et de l’IRPP. Il repose sur le versement de trois acomptes égaux au cours de l’exercice en cours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A68"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1F3A68"/>
                <w:sz w:val="22"/>
                <w:szCs w:val="22"/>
              </w:rPr>
              <w:t xml:space="preserve">Règle des acomptes provisionnels</w:t>
            </w:r>
          </w:p>
          <w:p>
            <w:pPr>
              <w:spacing w:after="60" w:line="300"/>
            </w:pPr>
            <w:r>
              <w:rPr>
                <w:rFonts w:ascii="Calibri" w:cs="Calibri" w:eastAsia="Calibri" w:hAnsi="Calibri"/>
                <w:color w:val="1F2A37"/>
                <w:sz w:val="21"/>
                <w:szCs w:val="21"/>
              </w:rPr>
              <w:t xml:space="preserve">3 acomptes, chacun égal à 30 % de l’IS / IRPP de l’exercice précédent (N-1), soit 90 % au total.</w:t>
            </w:r>
          </w:p>
          <w:p>
            <w:pPr>
              <w:spacing w:after="60" w:line="300"/>
            </w:pPr>
            <w:r>
              <w:rPr>
                <w:rFonts w:ascii="Calibri" w:cs="Calibri" w:eastAsia="Calibri" w:hAnsi="Calibri"/>
                <w:color w:val="1F2A37"/>
                <w:sz w:val="21"/>
                <w:szCs w:val="21"/>
              </w:rPr>
              <w:t xml:space="preserve">Personnes morales (PM) : 28 juin, 28 septembre, 28 décembre.</w:t>
            </w:r>
          </w:p>
          <w:p>
            <w:pPr>
              <w:spacing w:after="60" w:line="300"/>
            </w:pPr>
            <w:r>
              <w:rPr>
                <w:rFonts w:ascii="Calibri" w:cs="Calibri" w:eastAsia="Calibri" w:hAnsi="Calibri"/>
                <w:color w:val="1F2A37"/>
                <w:sz w:val="21"/>
                <w:szCs w:val="21"/>
              </w:rPr>
              <w:t xml:space="preserve">Personnes physiques (PP) : 25 juin, 25 septembre, 25 décembre.</w:t>
            </w:r>
          </w:p>
          <w:p>
            <w:pPr>
              <w:spacing w:after="60" w:line="300"/>
            </w:pPr>
            <w:r>
              <w:rPr>
                <w:rFonts w:ascii="Calibri" w:cs="Calibri" w:eastAsia="Calibri" w:hAnsi="Calibri"/>
                <w:color w:val="1F2A37"/>
                <w:sz w:val="21"/>
                <w:szCs w:val="21"/>
              </w:rPr>
              <w:t xml:space="preserve">Chaque acompte est imputable sur l’impôt définitif. Le solde est versé lors de la déclaration annuelle.</w:t>
            </w:r>
          </w:p>
        </w:tc>
      </w:tr>
    </w:tbl>
    <w:p>
      <w:pPr>
        <w:spacing w:after="120" w:before="0" w:line="320"/>
        <w:jc w:val="both"/>
      </w:pPr>
      <w:r>
        <w:rPr>
          <w:rFonts w:ascii="Calibri" w:cs="Calibri" w:eastAsia="Calibri" w:hAnsi="Calibri"/>
          <w:b w:val="false"/>
          <w:bCs w:val="false"/>
          <w:i w:val="false"/>
          <w:iCs w:val="false"/>
          <w:color w:val="1F2A37"/>
          <w:sz w:val="22"/>
          <w:szCs w:val="22"/>
        </w:rPr>
        <w:t xml:space="preserve">En cas de diminution substantielle du bénéfice, le contribuable peut déposer une déclaration de réduction d’acompte auprès de l’administration fiscale, justifiée par des éléments comptables.</w:t>
      </w:r>
    </w:p>
    <w:p>
      <w:pPr>
        <w:pStyle w:val="Heading2"/>
        <w:spacing w:after="160" w:before="320"/>
      </w:pPr>
      <w:r>
        <w:rPr>
          <w:rFonts w:ascii="Calibri" w:cs="Calibri" w:eastAsia="Calibri" w:hAnsi="Calibri"/>
          <w:b/>
          <w:bCs/>
          <w:color w:val="1F3A68"/>
          <w:sz w:val="28"/>
          <w:szCs w:val="28"/>
        </w:rPr>
        <w:t xml:space="preserve">3.4. La déclaration d’employeur</w:t>
      </w:r>
    </w:p>
    <w:p>
      <w:pPr>
        <w:spacing w:after="120" w:before="0" w:line="320"/>
        <w:jc w:val="both"/>
      </w:pPr>
      <w:r>
        <w:rPr>
          <w:rFonts w:ascii="Calibri" w:cs="Calibri" w:eastAsia="Calibri" w:hAnsi="Calibri"/>
          <w:b w:val="false"/>
          <w:bCs w:val="false"/>
          <w:i w:val="false"/>
          <w:iCs w:val="false"/>
          <w:color w:val="1F2A37"/>
          <w:sz w:val="22"/>
          <w:szCs w:val="22"/>
        </w:rPr>
        <w:t xml:space="preserve">La déclaration annuelle de l’employeur (formulaire 04—A) récapitule l’ensemble des revenus versés au cours de l’année écoulée (salaires, honoraires, loyers, commissions, dividendes, jetons de présence) et les retenues à la source effectuées. Elle est obligatoire pour tout employeur ou débiteur de retenues.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C0392B"/>
                <w:sz w:val="22"/>
                <w:szCs w:val="22"/>
              </w:rPr>
              <w:t xml:space="preserve">Déclaration d’employeur — Points clés</w:t>
            </w:r>
          </w:p>
          <w:p>
            <w:pPr>
              <w:spacing w:after="60" w:line="300"/>
            </w:pPr>
            <w:r>
              <w:rPr>
                <w:rFonts w:ascii="Calibri" w:cs="Calibri" w:eastAsia="Calibri" w:hAnsi="Calibri"/>
                <w:color w:val="1F2A37"/>
                <w:sz w:val="21"/>
                <w:szCs w:val="21"/>
              </w:rPr>
              <w:t xml:space="preserve">Délai : 30 avril de chaque année (pour l’exercice N-1).</w:t>
            </w:r>
          </w:p>
          <w:p>
            <w:pPr>
              <w:spacing w:after="60" w:line="300"/>
            </w:pPr>
            <w:r>
              <w:rPr>
                <w:rFonts w:ascii="Calibri" w:cs="Calibri" w:eastAsia="Calibri" w:hAnsi="Calibri"/>
                <w:color w:val="1F2A37"/>
                <w:sz w:val="21"/>
                <w:szCs w:val="21"/>
              </w:rPr>
              <w:t xml:space="preserve">Dépôt électronique obligatoire via la plateforme TEJ (généralisation 1er janvier 2026) avec fichier XML.</w:t>
            </w:r>
          </w:p>
          <w:p>
            <w:pPr>
              <w:spacing w:after="60" w:line="300"/>
            </w:pPr>
            <w:r>
              <w:rPr>
                <w:rFonts w:ascii="Calibri" w:cs="Calibri" w:eastAsia="Calibri" w:hAnsi="Calibri"/>
                <w:color w:val="1F2A37"/>
                <w:sz w:val="21"/>
                <w:szCs w:val="21"/>
              </w:rPr>
              <w:t xml:space="preserve">Reprend toutes les retenues opérées : salaires, honoraires, loyers, dividendes, travail occasionnel.</w:t>
            </w:r>
          </w:p>
          <w:p>
            <w:pPr>
              <w:spacing w:after="60" w:line="300"/>
            </w:pPr>
            <w:r>
              <w:rPr>
                <w:rFonts w:ascii="Calibri" w:cs="Calibri" w:eastAsia="Calibri" w:hAnsi="Calibri"/>
                <w:color w:val="1F2A37"/>
                <w:sz w:val="21"/>
                <w:szCs w:val="21"/>
              </w:rPr>
              <w:t xml:space="preserve">Sert de base au rapprochement entre les déclarations mensuelles et les déclarations de bénéficiaires.</w:t>
            </w:r>
          </w:p>
        </w:tc>
      </w:tr>
    </w:tbl>
    <w:p>
      <w:pPr>
        <w:pStyle w:val="Heading2"/>
        <w:spacing w:after="160" w:before="320"/>
      </w:pPr>
      <w:r>
        <w:rPr>
          <w:rFonts w:ascii="Calibri" w:cs="Calibri" w:eastAsia="Calibri" w:hAnsi="Calibri"/>
          <w:b/>
          <w:bCs/>
          <w:color w:val="1F3A68"/>
          <w:sz w:val="28"/>
          <w:szCs w:val="28"/>
        </w:rPr>
        <w:t xml:space="preserve">3.5. La déclaration des états financiers</w:t>
      </w:r>
    </w:p>
    <w:p>
      <w:pPr>
        <w:spacing w:after="120" w:before="0" w:line="320"/>
        <w:jc w:val="both"/>
      </w:pPr>
      <w:r>
        <w:rPr>
          <w:rFonts w:ascii="Calibri" w:cs="Calibri" w:eastAsia="Calibri" w:hAnsi="Calibri"/>
          <w:b w:val="false"/>
          <w:bCs w:val="false"/>
          <w:i w:val="false"/>
          <w:iCs w:val="false"/>
          <w:color w:val="1F2A37"/>
          <w:sz w:val="22"/>
          <w:szCs w:val="22"/>
        </w:rPr>
        <w:t xml:space="preserve">Les entreprises soumises au régime réel ont l’obligation de déposer leurs états financiers (bilan, compte de résultat, notes aux états financiers) auprès du Registre National des Entreprises (RNE) dans le délai suivant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D4A017"/>
                <w:sz w:val="22"/>
                <w:szCs w:val="22"/>
              </w:rPr>
              <w:t xml:space="preserve">Dépôt des états financiers au RNE</w:t>
            </w:r>
          </w:p>
          <w:p>
            <w:pPr>
              <w:spacing w:after="60" w:line="300"/>
            </w:pPr>
            <w:r>
              <w:rPr>
                <w:rFonts w:ascii="Calibri" w:cs="Calibri" w:eastAsia="Calibri" w:hAnsi="Calibri"/>
                <w:color w:val="1F2A37"/>
                <w:sz w:val="21"/>
                <w:szCs w:val="21"/>
              </w:rPr>
              <w:t xml:space="preserve">Délai : 31 juillet de chaque année (pour l’exercice clos au 31 décembre N-1).</w:t>
            </w:r>
          </w:p>
          <w:p>
            <w:pPr>
              <w:spacing w:after="60" w:line="300"/>
            </w:pPr>
            <w:r>
              <w:rPr>
                <w:rFonts w:ascii="Calibri" w:cs="Calibri" w:eastAsia="Calibri" w:hAnsi="Calibri"/>
                <w:color w:val="1F2A37"/>
                <w:sz w:val="21"/>
                <w:szCs w:val="21"/>
              </w:rPr>
              <w:t xml:space="preserve">Plateforme : Registre National des Entreprises — www.registre-entreprises.tn</w:t>
            </w:r>
          </w:p>
          <w:p>
            <w:pPr>
              <w:spacing w:after="60" w:line="300"/>
            </w:pPr>
            <w:r>
              <w:rPr>
                <w:rFonts w:ascii="Calibri" w:cs="Calibri" w:eastAsia="Calibri" w:hAnsi="Calibri"/>
                <w:color w:val="1F2A37"/>
                <w:sz w:val="21"/>
                <w:szCs w:val="21"/>
              </w:rPr>
              <w:t xml:space="preserve">Format dématérialisé obligatoire.</w:t>
            </w:r>
          </w:p>
          <w:p>
            <w:pPr>
              <w:spacing w:after="60" w:line="300"/>
            </w:pPr>
            <w:r>
              <w:rPr>
                <w:rFonts w:ascii="Calibri" w:cs="Calibri" w:eastAsia="Calibri" w:hAnsi="Calibri"/>
                <w:color w:val="1F2A37"/>
                <w:sz w:val="21"/>
                <w:szCs w:val="21"/>
              </w:rPr>
              <w:t xml:space="preserve">Sanction en cas de non-dépôt : amende administrative et refus de certains avantages fiscaux.</w:t>
            </w:r>
          </w:p>
        </w:tc>
      </w:tr>
    </w:tbl>
    <w:p>
      <w:r>
        <w:br w:type="page"/>
      </w:r>
    </w:p>
    <w:p>
      <w:pPr>
        <w:pStyle w:val="Heading1"/>
        <w:spacing w:after="220" w:before="480"/>
      </w:pPr>
      <w:r>
        <w:rPr>
          <w:rFonts w:ascii="Calibri" w:cs="Calibri" w:eastAsia="Calibri" w:hAnsi="Calibri"/>
          <w:b/>
          <w:bCs/>
          <w:color w:val="13243F"/>
          <w:sz w:val="36"/>
          <w:szCs w:val="36"/>
        </w:rPr>
        <w:t xml:space="preserve">Partie IV — Les obligations CNSS</w:t>
      </w:r>
    </w:p>
    <w:p>
      <w:pPr>
        <w:pStyle w:val="Heading2"/>
        <w:spacing w:after="160" w:before="320"/>
      </w:pPr>
      <w:r>
        <w:rPr>
          <w:rFonts w:ascii="Calibri" w:cs="Calibri" w:eastAsia="Calibri" w:hAnsi="Calibri"/>
          <w:b/>
          <w:bCs/>
          <w:color w:val="1F3A68"/>
          <w:sz w:val="28"/>
          <w:szCs w:val="28"/>
        </w:rPr>
        <w:t xml:space="preserve">4.1. Le principe d’affiliation</w:t>
      </w:r>
    </w:p>
    <w:p>
      <w:pPr>
        <w:spacing w:after="120" w:before="0" w:line="320"/>
        <w:jc w:val="both"/>
      </w:pPr>
      <w:r>
        <w:rPr>
          <w:rFonts w:ascii="Calibri" w:cs="Calibri" w:eastAsia="Calibri" w:hAnsi="Calibri"/>
          <w:b w:val="false"/>
          <w:bCs w:val="false"/>
          <w:i w:val="false"/>
          <w:iCs w:val="false"/>
          <w:color w:val="1F2A37"/>
          <w:sz w:val="22"/>
          <w:szCs w:val="22"/>
        </w:rPr>
        <w:t xml:space="preserve">La Caisse Nationale de Sécurité Sociale (CNSS) est l’organisme tunisien chargé de la gestion des régimes de sécurité sociale du secteur privé. Elle gère deux régimes distincts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Régime</w:t>
            </w:r>
          </w:p>
        </w:tc>
        <w:tc>
          <w:tcPr>
            <w:tcW w:type="dxa" w:w="624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Personnes concernées</w:t>
            </w:r>
          </w:p>
        </w:tc>
      </w:tr>
      <w:tr>
        <w:tc>
          <w:tcPr>
            <w:tcW w:type="dxa" w:w="312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Régime des travailleurs non salariés (TNS)</w:t>
            </w:r>
          </w:p>
        </w:tc>
        <w:tc>
          <w:tcPr>
            <w:tcW w:type="dxa" w:w="62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Chefs d’entreprises indépendants, professions libérales, associés gérants majoritaires, artisans indépendants, exploitants agricoles.</w:t>
            </w:r>
          </w:p>
        </w:tc>
      </w:tr>
      <w:tr>
        <w:tc>
          <w:tcPr>
            <w:tcW w:type="dxa" w:w="312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Régime général</w:t>
            </w:r>
          </w:p>
        </w:tc>
        <w:tc>
          <w:tcPr>
            <w:tcW w:type="dxa" w:w="624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Salariés du secteur privé — CDD et CDI, y compris les apprentis et les employés à temps partiel.</w:t>
            </w:r>
          </w:p>
        </w:tc>
      </w:tr>
    </w:tbl>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D4A017"/>
                <w:sz w:val="22"/>
                <w:szCs w:val="22"/>
              </w:rPr>
              <w:t xml:space="preserve">Note importante : CNRPS vs CNSS</w:t>
            </w:r>
          </w:p>
          <w:p>
            <w:pPr>
              <w:spacing w:after="60" w:line="300"/>
            </w:pPr>
            <w:r>
              <w:rPr>
                <w:rFonts w:ascii="Calibri" w:cs="Calibri" w:eastAsia="Calibri" w:hAnsi="Calibri"/>
                <w:color w:val="1F2A37"/>
                <w:sz w:val="21"/>
                <w:szCs w:val="21"/>
              </w:rPr>
              <w:t xml:space="preserve">Les fonctionnaires et agents de l’État relèvent de la Caisse Nationale de Retraite et de Prévoyance Sociale (CNRPS) et non de la CNSS. Les règles de cotisation, de déclaration et de délai sont distinctes.</w:t>
            </w:r>
          </w:p>
        </w:tc>
      </w:tr>
    </w:tbl>
    <w:p>
      <w:pPr>
        <w:spacing w:after="120"/>
      </w:pPr>
      <w:r>
        <w:t xml:space="preserve"/>
      </w:r>
    </w:p>
    <w:p>
      <w:pPr>
        <w:pStyle w:val="Heading2"/>
        <w:spacing w:after="160" w:before="320"/>
      </w:pPr>
      <w:r>
        <w:rPr>
          <w:rFonts w:ascii="Calibri" w:cs="Calibri" w:eastAsia="Calibri" w:hAnsi="Calibri"/>
          <w:b/>
          <w:bCs/>
          <w:color w:val="1F3A68"/>
          <w:sz w:val="28"/>
          <w:szCs w:val="28"/>
        </w:rPr>
        <w:t xml:space="preserve">4.2. Le régime TNS : les classes de revenus</w:t>
      </w:r>
    </w:p>
    <w:p>
      <w:pPr>
        <w:spacing w:after="120" w:before="0" w:line="320"/>
        <w:jc w:val="both"/>
      </w:pPr>
      <w:r>
        <w:rPr>
          <w:rFonts w:ascii="Calibri" w:cs="Calibri" w:eastAsia="Calibri" w:hAnsi="Calibri"/>
          <w:b w:val="false"/>
          <w:bCs w:val="false"/>
          <w:i w:val="false"/>
          <w:iCs w:val="false"/>
          <w:color w:val="1F2A37"/>
          <w:sz w:val="22"/>
          <w:szCs w:val="22"/>
        </w:rPr>
        <w:t xml:space="preserve">Les travailleurs non salariés (TNS) affiliés à la CNSS cotisent sur la base d’une classe de revenus fixée par décret (Décret 95-1166 du 3 juillet 1995). Le tableau ci-dessous présente les 10 classes et les cotisations correspondantes au taux de 14,71 %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480"/>
        <w:gridCol w:w="4680"/>
      </w:tblGrid>
      <w:tr>
        <w:trPr>
          <w:tblHeader/>
        </w:trPr>
        <w:tc>
          <w:tcPr>
            <w:tcW w:type="dxa" w:w="12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Classe</w:t>
            </w:r>
          </w:p>
        </w:tc>
        <w:tc>
          <w:tcPr>
            <w:tcW w:type="dxa" w:w="34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Revenu trimestriel (DT)</w:t>
            </w:r>
          </w:p>
        </w:tc>
        <w:tc>
          <w:tcPr>
            <w:tcW w:type="dxa" w:w="46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Cotisation trimestrielle 14,71 % (DT)</w:t>
            </w:r>
          </w:p>
        </w:tc>
      </w:tr>
      <w:tr>
        <w:tc>
          <w:tcPr>
            <w:tcW w:type="dxa" w:w="12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1 524</w:t>
            </w:r>
          </w:p>
        </w:tc>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224,180</w:t>
            </w:r>
          </w:p>
        </w:tc>
      </w:tr>
      <w:tr>
        <w:tc>
          <w:tcPr>
            <w:tcW w:type="dxa" w:w="12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2 286</w:t>
            </w:r>
          </w:p>
        </w:tc>
        <w:tc>
          <w:tcPr>
            <w:tcW w:type="dxa" w:w="46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336,271</w:t>
            </w:r>
          </w:p>
        </w:tc>
      </w:tr>
      <w:tr>
        <w:tc>
          <w:tcPr>
            <w:tcW w:type="dxa" w:w="12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3 048</w:t>
            </w:r>
          </w:p>
        </w:tc>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448,361</w:t>
            </w:r>
          </w:p>
        </w:tc>
      </w:tr>
      <w:tr>
        <w:tc>
          <w:tcPr>
            <w:tcW w:type="dxa" w:w="12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4</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4 572</w:t>
            </w:r>
          </w:p>
        </w:tc>
        <w:tc>
          <w:tcPr>
            <w:tcW w:type="dxa" w:w="46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672,541</w:t>
            </w:r>
          </w:p>
        </w:tc>
      </w:tr>
      <w:tr>
        <w:tc>
          <w:tcPr>
            <w:tcW w:type="dxa" w:w="12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5</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6 096</w:t>
            </w:r>
          </w:p>
        </w:tc>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896,722</w:t>
            </w:r>
          </w:p>
        </w:tc>
      </w:tr>
      <w:tr>
        <w:tc>
          <w:tcPr>
            <w:tcW w:type="dxa" w:w="12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6</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9 144</w:t>
            </w:r>
          </w:p>
        </w:tc>
        <w:tc>
          <w:tcPr>
            <w:tcW w:type="dxa" w:w="46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1 345,082</w:t>
            </w:r>
          </w:p>
        </w:tc>
      </w:tr>
      <w:tr>
        <w:tc>
          <w:tcPr>
            <w:tcW w:type="dxa" w:w="12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7</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13 716</w:t>
            </w:r>
          </w:p>
        </w:tc>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2 017,624</w:t>
            </w:r>
          </w:p>
        </w:tc>
      </w:tr>
      <w:tr>
        <w:tc>
          <w:tcPr>
            <w:tcW w:type="dxa" w:w="12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8</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18 288</w:t>
            </w:r>
          </w:p>
        </w:tc>
        <w:tc>
          <w:tcPr>
            <w:tcW w:type="dxa" w:w="46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2 690,165</w:t>
            </w:r>
          </w:p>
        </w:tc>
      </w:tr>
      <w:tr>
        <w:tc>
          <w:tcPr>
            <w:tcW w:type="dxa" w:w="12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9</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22 860</w:t>
            </w:r>
          </w:p>
        </w:tc>
        <w:tc>
          <w:tcPr>
            <w:tcW w:type="dxa" w:w="46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3 362,706</w:t>
            </w:r>
          </w:p>
        </w:tc>
      </w:tr>
      <w:tr>
        <w:tc>
          <w:tcPr>
            <w:tcW w:type="dxa" w:w="12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10</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27 432</w:t>
            </w:r>
          </w:p>
        </w:tc>
        <w:tc>
          <w:tcPr>
            <w:tcW w:type="dxa" w:w="46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4 035,247</w:t>
            </w:r>
          </w:p>
        </w:tc>
      </w:tr>
    </w:tbl>
    <w:p>
      <w:pPr>
        <w:spacing w:after="120"/>
      </w:pPr>
      <w:r>
        <w:t xml:space="preserve"/>
      </w:r>
    </w:p>
    <w:p>
      <w:pPr>
        <w:pStyle w:val="Heading3"/>
        <w:spacing w:after="120" w:before="240"/>
      </w:pPr>
      <w:r>
        <w:rPr>
          <w:rFonts w:ascii="Calibri" w:cs="Calibri" w:eastAsia="Calibri" w:hAnsi="Calibri"/>
          <w:b/>
          <w:bCs/>
          <w:color w:val="1F3A68"/>
          <w:sz w:val="24"/>
          <w:szCs w:val="24"/>
        </w:rPr>
        <w:t xml:space="preserve">Classes plancher (CP) par activité</w:t>
      </w:r>
    </w:p>
    <w:p>
      <w:pPr>
        <w:spacing w:after="120" w:before="0" w:line="320"/>
        <w:jc w:val="both"/>
      </w:pPr>
      <w:r>
        <w:rPr>
          <w:rFonts w:ascii="Calibri" w:cs="Calibri" w:eastAsia="Calibri" w:hAnsi="Calibri"/>
          <w:b w:val="false"/>
          <w:bCs w:val="false"/>
          <w:i w:val="false"/>
          <w:iCs w:val="false"/>
          <w:color w:val="1F2A37"/>
          <w:sz w:val="22"/>
          <w:szCs w:val="22"/>
        </w:rPr>
        <w:t xml:space="preserve">La CNSS impose une classe plancher minimum selon la nature de l’activité exercée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960"/>
        <w:gridCol w:w="2400"/>
      </w:tblGrid>
      <w:tr>
        <w:trPr>
          <w:tblHeader/>
        </w:trPr>
        <w:tc>
          <w:tcPr>
            <w:tcW w:type="dxa" w:w="69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Secteur / Profession</w:t>
            </w:r>
          </w:p>
        </w:tc>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Classe Plancher</w:t>
            </w:r>
          </w:p>
        </w:tc>
      </w:tr>
      <w:tr>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Industrie, commerce, services, artisanat, BTP non agréé (selon nombre de salariés)</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CP 1 à 7</w:t>
            </w:r>
          </w:p>
        </w:tc>
      </w:tr>
      <w:tr>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Entreprises BTP agréées (selon montant agrément)</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CP 2 à 7</w:t>
            </w:r>
          </w:p>
        </w:tc>
      </w:tr>
      <w:tr>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Activités agricoles (selon superficie irriguée/en sec)</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CP 1 à 6</w:t>
            </w:r>
          </w:p>
        </w:tc>
      </w:tr>
      <w:tr>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Médecin spécialiste, chirurgien dentiste spécialisé, pharmacien biologiste</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CP 7</w:t>
            </w:r>
          </w:p>
        </w:tc>
      </w:tr>
      <w:tr>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Médecin généraliste, vétérinaire, pharmacien, architecte, ingénieur, expert-comptable, expert judiciaire, huissier, notaire, courtier, agent général d’assurance</w:t>
            </w:r>
          </w:p>
        </w:tc>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CP 5</w:t>
            </w:r>
          </w:p>
        </w:tc>
      </w:tr>
      <w:tr>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Écrivains, artistes, comptables, journalistes, sage-femme, opticien, infirmier qualifié</w:t>
            </w:r>
          </w:p>
        </w:tc>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CP 3</w:t>
            </w:r>
          </w:p>
        </w:tc>
      </w:tr>
    </w:tbl>
    <w:p>
      <w:pPr>
        <w:spacing w:after="160"/>
      </w:pPr>
      <w:r>
        <w:t xml:space="preserve"/>
      </w:r>
    </w:p>
    <w:p>
      <w:pPr>
        <w:pStyle w:val="Heading2"/>
        <w:spacing w:after="160" w:before="320"/>
      </w:pPr>
      <w:r>
        <w:rPr>
          <w:rFonts w:ascii="Calibri" w:cs="Calibri" w:eastAsia="Calibri" w:hAnsi="Calibri"/>
          <w:b/>
          <w:bCs/>
          <w:color w:val="1F3A68"/>
          <w:sz w:val="28"/>
          <w:szCs w:val="28"/>
        </w:rPr>
        <w:t xml:space="preserve">4.3. Le régime général : les taux de cotisations</w:t>
      </w:r>
    </w:p>
    <w:p>
      <w:pPr>
        <w:spacing w:after="120" w:before="0" w:line="320"/>
        <w:jc w:val="both"/>
      </w:pPr>
      <w:r>
        <w:rPr>
          <w:rFonts w:ascii="Calibri" w:cs="Calibri" w:eastAsia="Calibri" w:hAnsi="Calibri"/>
          <w:b w:val="false"/>
          <w:bCs w:val="false"/>
          <w:i w:val="false"/>
          <w:iCs w:val="false"/>
          <w:color w:val="1F2A37"/>
          <w:sz w:val="22"/>
          <w:szCs w:val="22"/>
        </w:rPr>
        <w:t xml:space="preserve">Les cotisations sociales au régime général sont partagées entre l’employeur et le salarié. Le tableau ci-dessous récapitulle les taux en vigueur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80"/>
        <w:gridCol w:w="2640"/>
        <w:gridCol w:w="2640"/>
      </w:tblGrid>
      <w:tr>
        <w:trPr>
          <w:tblHeader/>
        </w:trPr>
        <w:tc>
          <w:tcPr>
            <w:tcW w:type="dxa" w:w="40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Élément de cotisation</w:t>
            </w:r>
          </w:p>
        </w:tc>
        <w:tc>
          <w:tcPr>
            <w:tcW w:type="dxa" w:w="264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Taux</w:t>
            </w:r>
          </w:p>
        </w:tc>
        <w:tc>
          <w:tcPr>
            <w:tcW w:type="dxa" w:w="264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Base</w:t>
            </w:r>
          </w:p>
        </w:tc>
      </w:tr>
      <w:tr>
        <w:tc>
          <w:tcPr>
            <w:tcW w:type="dxa" w:w="40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Cotisation salariale</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9,68 %</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Salaire brut</w:t>
            </w:r>
          </w:p>
        </w:tc>
      </w:tr>
      <w:tr>
        <w:tc>
          <w:tcPr>
            <w:tcW w:type="dxa" w:w="40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Cotisation patronale — régime onshore (secteur local)</w:t>
            </w:r>
          </w:p>
        </w:tc>
        <w:tc>
          <w:tcPr>
            <w:tcW w:type="dxa" w:w="264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17,07 %</w:t>
            </w:r>
          </w:p>
        </w:tc>
        <w:tc>
          <w:tcPr>
            <w:tcW w:type="dxa" w:w="264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Salaire brut</w:t>
            </w:r>
          </w:p>
        </w:tc>
      </w:tr>
      <w:tr>
        <w:tc>
          <w:tcPr>
            <w:tcW w:type="dxa" w:w="40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Cotisation patronale — entreprise offshore (exportatrice)</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16,57 %</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Salaire brut</w:t>
            </w:r>
          </w:p>
        </w:tc>
      </w:tr>
      <w:tr>
        <w:tc>
          <w:tcPr>
            <w:tcW w:type="dxa" w:w="40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Accident de travail (commerce, variation selon risque)</w:t>
            </w:r>
          </w:p>
        </w:tc>
        <w:tc>
          <w:tcPr>
            <w:tcW w:type="dxa" w:w="264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0,5 % à 4 %</w:t>
            </w:r>
          </w:p>
        </w:tc>
        <w:tc>
          <w:tcPr>
            <w:tcW w:type="dxa" w:w="264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Salaire brut</w:t>
            </w:r>
          </w:p>
        </w:tc>
      </w:tr>
      <w:tr>
        <w:tc>
          <w:tcPr>
            <w:tcW w:type="dxa" w:w="40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bCs/>
                <w:color w:val="1F2A37"/>
                <w:sz w:val="20"/>
                <w:szCs w:val="20"/>
              </w:rPr>
              <w:t xml:space="preserve">Total régime général onshore (commerce)</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C0392B"/>
                <w:sz w:val="20"/>
                <w:szCs w:val="20"/>
              </w:rPr>
              <w:t xml:space="preserve">27,25 %</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Salaire brut</w:t>
            </w:r>
          </w:p>
        </w:tc>
      </w:tr>
      <w:tr>
        <w:tc>
          <w:tcPr>
            <w:tcW w:type="dxa" w:w="40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Sécurité sociale onshore (hors AT)</w:t>
            </w:r>
          </w:p>
        </w:tc>
        <w:tc>
          <w:tcPr>
            <w:tcW w:type="dxa" w:w="264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26,75 %</w:t>
            </w:r>
          </w:p>
        </w:tc>
        <w:tc>
          <w:tcPr>
            <w:tcW w:type="dxa" w:w="264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17,07 % + 9,68 %</w:t>
            </w:r>
          </w:p>
        </w:tc>
      </w:tr>
      <w:tr>
        <w:tc>
          <w:tcPr>
            <w:tcW w:type="dxa" w:w="40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Sécurité sociale offshore (hors AT)</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26,25 %</w:t>
            </w:r>
          </w:p>
        </w:tc>
        <w:tc>
          <w:tcPr>
            <w:tcW w:type="dxa" w:w="264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16,57 % + 9,68 %</w:t>
            </w:r>
          </w:p>
        </w:tc>
      </w:tr>
    </w:tbl>
    <w:p>
      <w:pPr>
        <w:spacing w:after="160"/>
      </w:pPr>
      <w:r>
        <w:t xml:space="preserve"/>
      </w:r>
    </w:p>
    <w:p>
      <w:pPr>
        <w:pStyle w:val="Heading2"/>
        <w:spacing w:after="160" w:before="320"/>
      </w:pPr>
      <w:r>
        <w:rPr>
          <w:rFonts w:ascii="Calibri" w:cs="Calibri" w:eastAsia="Calibri" w:hAnsi="Calibri"/>
          <w:b/>
          <w:bCs/>
          <w:color w:val="1F3A68"/>
          <w:sz w:val="28"/>
          <w:szCs w:val="28"/>
        </w:rPr>
        <w:t xml:space="preserve">4.4. Le calendrier de déclaration CNSS trimestrielle</w:t>
      </w:r>
    </w:p>
    <w:p>
      <w:pPr>
        <w:spacing w:after="120" w:before="0" w:line="320"/>
        <w:jc w:val="both"/>
      </w:pPr>
      <w:r>
        <w:rPr>
          <w:rFonts w:ascii="Calibri" w:cs="Calibri" w:eastAsia="Calibri" w:hAnsi="Calibri"/>
          <w:b w:val="false"/>
          <w:bCs w:val="false"/>
          <w:i w:val="false"/>
          <w:iCs w:val="false"/>
          <w:color w:val="1F2A37"/>
          <w:sz w:val="22"/>
          <w:szCs w:val="22"/>
        </w:rPr>
        <w:t xml:space="preserve">Les déclarations CNSS sont déposées trimestriellement. Les délais diffèrent selon que l’entreprise est onshore (régime général local) ou offshore (exportatrice) :</w:t>
      </w:r>
    </w:p>
    <w:p>
      <w:pPr>
        <w:pStyle w:val="Heading3"/>
        <w:spacing w:after="120" w:before="240"/>
      </w:pPr>
      <w:r>
        <w:rPr>
          <w:rFonts w:ascii="Calibri" w:cs="Calibri" w:eastAsia="Calibri" w:hAnsi="Calibri"/>
          <w:b/>
          <w:bCs/>
          <w:color w:val="1F3A68"/>
          <w:sz w:val="24"/>
          <w:szCs w:val="24"/>
        </w:rPr>
        <w:t xml:space="preserve">Régime général onshore — délai au 15 du mois suivant le trimestre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Trimestre</w:t>
            </w:r>
          </w:p>
        </w:tc>
        <w:tc>
          <w:tcPr>
            <w:tcW w:type="dxa" w:w="34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Période concernée</w:t>
            </w:r>
          </w:p>
        </w:tc>
        <w:tc>
          <w:tcPr>
            <w:tcW w:type="dxa" w:w="34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Date limite (onshore)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T1</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Janvier — Mars</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15 avril</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T2</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Avril — Juin</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15 juillet</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T3</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Juillet — Septembre</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15 octobre</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T4</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Octobre — Décembre</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15 janvier (année suivante)</w:t>
            </w:r>
          </w:p>
        </w:tc>
      </w:tr>
    </w:tbl>
    <w:p>
      <w:pPr>
        <w:spacing w:after="120"/>
      </w:pPr>
      <w:r>
        <w:t xml:space="preserve"/>
      </w:r>
    </w:p>
    <w:p>
      <w:pPr>
        <w:pStyle w:val="Heading3"/>
        <w:spacing w:after="120" w:before="240"/>
      </w:pPr>
      <w:r>
        <w:rPr>
          <w:rFonts w:ascii="Calibri" w:cs="Calibri" w:eastAsia="Calibri" w:hAnsi="Calibri"/>
          <w:b/>
          <w:bCs/>
          <w:color w:val="1F3A68"/>
          <w:sz w:val="24"/>
          <w:szCs w:val="24"/>
        </w:rPr>
        <w:t xml:space="preserve">Entreprises offshore — délai au 25 du mois suivant le trimestre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Trimestre</w:t>
            </w:r>
          </w:p>
        </w:tc>
        <w:tc>
          <w:tcPr>
            <w:tcW w:type="dxa" w:w="34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Période concernée</w:t>
            </w:r>
          </w:p>
        </w:tc>
        <w:tc>
          <w:tcPr>
            <w:tcW w:type="dxa" w:w="348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Date limite (offshore)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T1</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Janvier — Mars</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avril</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T2</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Avril — Juin</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juillet</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T3</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Juillet — Septembre</w:t>
            </w:r>
          </w:p>
        </w:tc>
        <w:tc>
          <w:tcPr>
            <w:tcW w:type="dxa" w:w="348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octobre</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T4</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Octobre — Décembre</w:t>
            </w:r>
          </w:p>
        </w:tc>
        <w:tc>
          <w:tcPr>
            <w:tcW w:type="dxa" w:w="348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janvier (année suivante)</w:t>
            </w:r>
          </w:p>
        </w:tc>
      </w:tr>
    </w:tbl>
    <w:p>
      <w:pPr>
        <w:spacing w:after="120"/>
      </w:pPr>
      <w:r>
        <w:t xml:space="preserve"/>
      </w:r>
    </w:p>
    <w:p>
      <w:pPr>
        <w:pStyle w:val="Heading2"/>
        <w:spacing w:after="160" w:before="320"/>
      </w:pPr>
      <w:r>
        <w:rPr>
          <w:rFonts w:ascii="Calibri" w:cs="Calibri" w:eastAsia="Calibri" w:hAnsi="Calibri"/>
          <w:b/>
          <w:bCs/>
          <w:color w:val="1F3A68"/>
          <w:sz w:val="28"/>
          <w:szCs w:val="28"/>
        </w:rPr>
        <w:t xml:space="preserve">4.5. La déclaration CNSS via Damancom</w:t>
      </w:r>
    </w:p>
    <w:p>
      <w:pPr>
        <w:spacing w:after="120" w:before="0" w:line="320"/>
        <w:jc w:val="both"/>
      </w:pPr>
      <w:r>
        <w:rPr>
          <w:rFonts w:ascii="Calibri" w:cs="Calibri" w:eastAsia="Calibri" w:hAnsi="Calibri"/>
          <w:b w:val="false"/>
          <w:bCs w:val="false"/>
          <w:i w:val="false"/>
          <w:iCs w:val="false"/>
          <w:color w:val="1F2A37"/>
          <w:sz w:val="22"/>
          <w:szCs w:val="22"/>
        </w:rPr>
        <w:t xml:space="preserve">La plateforme Damancom est le portail officiel de télédéclaration et de télépaiement des cotisations CNSS, accessible via le site :</w:t>
      </w:r>
    </w:p>
    <w:p>
      <w:pPr>
        <w:spacing w:after="120" w:before="0" w:line="320"/>
        <w:jc w:val="center"/>
      </w:pPr>
      <w:hyperlink w:history="1" r:id="rIdrx5aomsvo_dxccbhmfohe">
        <w:r>
          <w:rPr>
            <w:rFonts w:ascii="Calibri" w:cs="Calibri" w:eastAsia="Calibri" w:hAnsi="Calibri"/>
            <w:color w:val="0563C1"/>
            <w:sz w:val="22"/>
            <w:szCs w:val="22"/>
            <w:u w:val="single"/>
          </w:rPr>
          <w:t xml:space="preserve">www.cnss.tn</w:t>
        </w:r>
      </w:hyperlink>
    </w:p>
    <w:p>
      <w:pPr>
        <w:spacing w:after="120" w:before="0" w:line="320"/>
        <w:jc w:val="both"/>
      </w:pPr>
      <w:r>
        <w:rPr>
          <w:rFonts w:ascii="Calibri" w:cs="Calibri" w:eastAsia="Calibri" w:hAnsi="Calibri"/>
          <w:b w:val="false"/>
          <w:bCs w:val="false"/>
          <w:i w:val="false"/>
          <w:iCs w:val="false"/>
          <w:color w:val="1F2A37"/>
          <w:sz w:val="22"/>
          <w:szCs w:val="22"/>
        </w:rPr>
        <w:t xml:space="preserve">Damancom permet à l’employeur de déposer électroniquement la déclaration trimestrielle des salariés et des salaires, d’effectuer le paiement en ligne, et de gérer les affiliations. Pour les travailleurs non salariés (TNS), le paiement peut s’effectuer par carte bancaire en ligne, en saisissant le numéro d’affiliation (10 caractères) et le CIN du cotisant.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A68"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1F3A68"/>
                <w:sz w:val="22"/>
                <w:szCs w:val="22"/>
              </w:rPr>
              <w:t xml:space="preserve">Documents obligatoires pour la déclaration CNSS</w:t>
            </w:r>
          </w:p>
          <w:p>
            <w:pPr>
              <w:spacing w:after="60" w:line="300"/>
            </w:pPr>
            <w:r>
              <w:rPr>
                <w:rFonts w:ascii="Calibri" w:cs="Calibri" w:eastAsia="Calibri" w:hAnsi="Calibri"/>
                <w:color w:val="1F2A37"/>
                <w:sz w:val="21"/>
                <w:szCs w:val="21"/>
              </w:rPr>
              <w:t xml:space="preserve">• Déclaration trimestrielle des salariés et des salaires (nom, prénom, CIN, salaire brut, période).</w:t>
            </w:r>
          </w:p>
          <w:p>
            <w:pPr>
              <w:spacing w:after="60" w:line="300"/>
            </w:pPr>
            <w:r>
              <w:rPr>
                <w:rFonts w:ascii="Calibri" w:cs="Calibri" w:eastAsia="Calibri" w:hAnsi="Calibri"/>
                <w:color w:val="1F2A37"/>
                <w:sz w:val="21"/>
                <w:szCs w:val="21"/>
              </w:rPr>
              <w:t xml:space="preserve">• État récapitulatif indiquant le total des salaires déclarés et le montant des cotisations.</w:t>
            </w:r>
          </w:p>
          <w:p>
            <w:pPr>
              <w:spacing w:after="60" w:line="300"/>
            </w:pPr>
            <w:r>
              <w:rPr>
                <w:rFonts w:ascii="Calibri" w:cs="Calibri" w:eastAsia="Calibri" w:hAnsi="Calibri"/>
                <w:color w:val="1F2A37"/>
                <w:sz w:val="21"/>
                <w:szCs w:val="21"/>
              </w:rPr>
              <w:t xml:space="preserve">• En cas de mutation ou de sortie d’un salarié : formulaire de radiation ou de transfert.</w:t>
            </w:r>
          </w:p>
          <w:p>
            <w:pPr>
              <w:spacing w:after="60" w:line="300"/>
            </w:pPr>
            <w:r>
              <w:rPr>
                <w:rFonts w:ascii="Calibri" w:cs="Calibri" w:eastAsia="Calibri" w:hAnsi="Calibri"/>
                <w:color w:val="1F2A37"/>
                <w:sz w:val="21"/>
                <w:szCs w:val="21"/>
              </w:rPr>
              <w:t xml:space="preserve">• Justificatif de paiement à conserver pour chaque trimestre.</w:t>
            </w:r>
          </w:p>
        </w:tc>
      </w:tr>
    </w:tbl>
    <w:p>
      <w:r>
        <w:br w:type="page"/>
      </w:r>
    </w:p>
    <w:p>
      <w:pPr>
        <w:pStyle w:val="Heading1"/>
        <w:spacing w:after="220" w:before="480"/>
      </w:pPr>
      <w:r>
        <w:rPr>
          <w:rFonts w:ascii="Calibri" w:cs="Calibri" w:eastAsia="Calibri" w:hAnsi="Calibri"/>
          <w:b/>
          <w:bCs/>
          <w:color w:val="13243F"/>
          <w:sz w:val="36"/>
          <w:szCs w:val="36"/>
        </w:rPr>
        <w:t xml:space="preserve">Partie V — Calendrier fiscal et social annuel consolidé</w:t>
      </w:r>
    </w:p>
    <w:p>
      <w:pPr>
        <w:pStyle w:val="Heading2"/>
        <w:spacing w:after="160" w:before="320"/>
      </w:pPr>
      <w:r>
        <w:rPr>
          <w:rFonts w:ascii="Calibri" w:cs="Calibri" w:eastAsia="Calibri" w:hAnsi="Calibri"/>
          <w:b/>
          <w:bCs/>
          <w:color w:val="1F3A68"/>
          <w:sz w:val="28"/>
          <w:szCs w:val="28"/>
        </w:rPr>
        <w:t xml:space="preserve">5.1. Calendrier mensuel</w:t>
      </w:r>
    </w:p>
    <w:p>
      <w:pPr>
        <w:spacing w:after="120" w:before="0" w:line="320"/>
        <w:jc w:val="both"/>
      </w:pPr>
      <w:r>
        <w:rPr>
          <w:rFonts w:ascii="Calibri" w:cs="Calibri" w:eastAsia="Calibri" w:hAnsi="Calibri"/>
          <w:b w:val="false"/>
          <w:bCs w:val="false"/>
          <w:i w:val="false"/>
          <w:iCs w:val="false"/>
          <w:color w:val="1F2A37"/>
          <w:sz w:val="22"/>
          <w:szCs w:val="22"/>
        </w:rPr>
        <w:t xml:space="preserve">Le tableau ci-dessous récapitulle les échéances mensuelles récurrentes pour chaque type de contribuable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Date</w:t>
            </w:r>
          </w:p>
        </w:tc>
        <w:tc>
          <w:tcPr>
            <w:tcW w:type="dxa" w:w="69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Obligation mensuelle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Du 1er au 15</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mensuelle des personnes physiques (PP) en régime réel</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Du 1er au 20</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mensuelle des personnes morales (PM) télédéclarantes via E-Jebeya</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Du 1er au 28</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mensuelle des PM non télédéclarantes</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30 avril</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d’employeur (exercice N-1)</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31 juillet</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Dépôt des états financiers au Registre National des Entreprises (RNE)</w:t>
            </w:r>
          </w:p>
        </w:tc>
      </w:tr>
    </w:tbl>
    <w:p>
      <w:pPr>
        <w:spacing w:after="160"/>
      </w:pPr>
      <w:r>
        <w:t xml:space="preserve"/>
      </w:r>
    </w:p>
    <w:p>
      <w:pPr>
        <w:pStyle w:val="Heading2"/>
        <w:spacing w:after="160" w:before="320"/>
      </w:pPr>
      <w:r>
        <w:rPr>
          <w:rFonts w:ascii="Calibri" w:cs="Calibri" w:eastAsia="Calibri" w:hAnsi="Calibri"/>
          <w:b/>
          <w:bCs/>
          <w:color w:val="1F3A68"/>
          <w:sz w:val="28"/>
          <w:szCs w:val="28"/>
        </w:rPr>
        <w:t xml:space="preserve">5.2. Calendrier annuel détaillé</w:t>
      </w:r>
    </w:p>
    <w:p>
      <w:pPr>
        <w:spacing w:after="120" w:before="0" w:line="320"/>
        <w:jc w:val="both"/>
      </w:pPr>
      <w:r>
        <w:rPr>
          <w:rFonts w:ascii="Calibri" w:cs="Calibri" w:eastAsia="Calibri" w:hAnsi="Calibri"/>
          <w:b w:val="false"/>
          <w:bCs w:val="false"/>
          <w:i w:val="false"/>
          <w:iCs w:val="false"/>
          <w:color w:val="1F2A37"/>
          <w:sz w:val="22"/>
          <w:szCs w:val="22"/>
        </w:rPr>
        <w:t xml:space="preserve">Le calendrier ci-dessous présente, dans l’ordre chronologique, toutes les échéances fiscales et sociales annuelles majeures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Date</w:t>
            </w:r>
          </w:p>
        </w:tc>
        <w:tc>
          <w:tcPr>
            <w:tcW w:type="dxa" w:w="69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Échéance fiscale / sociale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5 février</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Acompte trimestriel PP — exploitants véhicules de location</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février</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PP — revenus mobiliers et plus-values sur titres</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mars</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IS — sociétés auditées clôturant au 31/12</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avril</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IRPP — commerçants régime réel (BIC)</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30 avril</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d’employeur (formulaire 04-A)</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mai</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IS — sociétés non auditées + IRPP artisans/prestataires/libéraux régime réel</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juin</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IS — secteur agricole et pêche + 1er AP IRPP PP</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28 juin</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1er acompte provisionnel IS PM (30 % de l’IS N-1)</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juillet</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IRPP — régime forfaitaire BIC</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31 juillet</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Dépôt états financiers au RNE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août</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annuelle IRPP — revenus fonciers et BNC indépendants</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septembre</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2ème acompte provisionnel IRPP PP</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28 septembre</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2ème acompte provisionnel IS PM</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25 décembre</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3ème acompte provisionnel IRPP PP</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28 décembre</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3ème acompte provisionnel IS PM</w:t>
            </w:r>
          </w:p>
        </w:tc>
      </w:tr>
    </w:tbl>
    <w:p>
      <w:pPr>
        <w:spacing w:after="160"/>
      </w:pPr>
      <w:r>
        <w:t xml:space="preserve"/>
      </w:r>
    </w:p>
    <w:p>
      <w:pPr>
        <w:pStyle w:val="Heading2"/>
        <w:spacing w:after="160" w:before="320"/>
      </w:pPr>
      <w:r>
        <w:rPr>
          <w:rFonts w:ascii="Calibri" w:cs="Calibri" w:eastAsia="Calibri" w:hAnsi="Calibri"/>
          <w:b/>
          <w:bCs/>
          <w:color w:val="1F3A68"/>
          <w:sz w:val="28"/>
          <w:szCs w:val="28"/>
        </w:rPr>
        <w:t xml:space="preserve">5.3. Le service SMS de la DGI : 85580</w:t>
      </w:r>
    </w:p>
    <w:p>
      <w:pPr>
        <w:spacing w:after="120" w:before="0" w:line="320"/>
        <w:jc w:val="both"/>
      </w:pPr>
      <w:r>
        <w:rPr>
          <w:rFonts w:ascii="Calibri" w:cs="Calibri" w:eastAsia="Calibri" w:hAnsi="Calibri"/>
          <w:b w:val="false"/>
          <w:bCs w:val="false"/>
          <w:i w:val="false"/>
          <w:iCs w:val="false"/>
          <w:color w:val="1F2A37"/>
          <w:sz w:val="22"/>
          <w:szCs w:val="22"/>
        </w:rPr>
        <w:t xml:space="preserve">La Direction Générale des Impôts (DGI) met à disposition des contribuables un service d’information fiscale par SMS via le numéro court 85580. Ce service permet d’obtenir des informations en temps réel sur la situation fiscale, directement depuis un téléphone mobile.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560"/>
        <w:gridCol w:w="4000"/>
      </w:tblGrid>
      <w:tr>
        <w:trPr>
          <w:tblHeader/>
        </w:trPr>
        <w:tc>
          <w:tcPr>
            <w:tcW w:type="dxa" w:w="18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Code SMS</w:t>
            </w:r>
          </w:p>
        </w:tc>
        <w:tc>
          <w:tcPr>
            <w:tcW w:type="dxa" w:w="35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Syntaxe</w:t>
            </w:r>
          </w:p>
        </w:tc>
        <w:tc>
          <w:tcPr>
            <w:tcW w:type="dxa" w:w="40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Informations obtenues</w:t>
            </w:r>
          </w:p>
        </w:tc>
      </w:tr>
      <w:tr>
        <w:tc>
          <w:tcPr>
            <w:tcW w:type="dxa" w:w="1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SF</w:t>
            </w:r>
          </w:p>
        </w:tc>
        <w:tc>
          <w:tcPr>
            <w:tcW w:type="dxa" w:w="35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SF + Matricule Fiscal (ex : SF 1697844Q)</w:t>
            </w:r>
          </w:p>
        </w:tc>
        <w:tc>
          <w:tcPr>
            <w:tcW w:type="dxa" w:w="40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Situation fiscale du contribuable (en règle ou en défaut)</w:t>
            </w:r>
          </w:p>
        </w:tc>
      </w:tr>
      <w:tr>
        <w:tc>
          <w:tcPr>
            <w:tcW w:type="dxa" w:w="18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RD</w:t>
            </w:r>
          </w:p>
        </w:tc>
        <w:tc>
          <w:tcPr>
            <w:tcW w:type="dxa" w:w="35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RD + CIN ou Matricule Fiscal</w:t>
            </w:r>
          </w:p>
        </w:tc>
        <w:tc>
          <w:tcPr>
            <w:tcW w:type="dxa" w:w="40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Infractions routières détectées par radar</w:t>
            </w:r>
          </w:p>
        </w:tc>
      </w:tr>
      <w:tr>
        <w:tc>
          <w:tcPr>
            <w:tcW w:type="dxa" w:w="18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AD</w:t>
            </w:r>
          </w:p>
        </w:tc>
        <w:tc>
          <w:tcPr>
            <w:tcW w:type="dxa" w:w="35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AD + CIN ou Matricule Fiscal</w:t>
            </w:r>
          </w:p>
        </w:tc>
        <w:tc>
          <w:tcPr>
            <w:tcW w:type="dxa" w:w="40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Adhésion au service d’information par SMS</w:t>
            </w:r>
          </w:p>
        </w:tc>
      </w:tr>
    </w:tbl>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D4A017"/>
                <w:sz w:val="22"/>
                <w:szCs w:val="22"/>
              </w:rPr>
              <w:t xml:space="preserve">À retenir</w:t>
            </w:r>
          </w:p>
          <w:p>
            <w:pPr>
              <w:spacing w:after="60" w:line="300"/>
            </w:pPr>
            <w:r>
              <w:rPr>
                <w:rFonts w:ascii="Calibri" w:cs="Calibri" w:eastAsia="Calibri" w:hAnsi="Calibri"/>
                <w:color w:val="1F2A37"/>
                <w:sz w:val="21"/>
                <w:szCs w:val="21"/>
              </w:rPr>
              <w:t xml:space="preserve">Exemple : envoyez le SMS "SF 1697844Q" au numéro 85580 depuis votre téléphone mobile tunisien.</w:t>
            </w:r>
          </w:p>
          <w:p>
            <w:pPr>
              <w:spacing w:after="60" w:line="300"/>
            </w:pPr>
            <w:r>
              <w:rPr>
                <w:rFonts w:ascii="Calibri" w:cs="Calibri" w:eastAsia="Calibri" w:hAnsi="Calibri"/>
                <w:color w:val="1F2A37"/>
                <w:sz w:val="21"/>
                <w:szCs w:val="21"/>
              </w:rPr>
              <w:t xml:space="preserve">La réponse est instantanée et gratuite pour les opérateurs Tunisie Télécom, Ooredoo et Orange Tunisie.</w:t>
            </w:r>
          </w:p>
          <w:p>
            <w:pPr>
              <w:spacing w:after="60" w:line="300"/>
            </w:pPr>
            <w:r>
              <w:rPr>
                <w:rFonts w:ascii="Calibri" w:cs="Calibri" w:eastAsia="Calibri" w:hAnsi="Calibri"/>
                <w:color w:val="1F2A37"/>
                <w:sz w:val="21"/>
                <w:szCs w:val="21"/>
              </w:rPr>
              <w:t xml:space="preserve">Ce service est particulièrement utile avant une transaction commerciale pour vérifier la situation fiscale d’un fournisseur.</w:t>
            </w:r>
          </w:p>
        </w:tc>
      </w:tr>
    </w:tbl>
    <w:p>
      <w:r>
        <w:br w:type="page"/>
      </w:r>
    </w:p>
    <w:p>
      <w:pPr>
        <w:pStyle w:val="Heading1"/>
        <w:spacing w:after="220" w:before="480"/>
      </w:pPr>
      <w:r>
        <w:rPr>
          <w:rFonts w:ascii="Calibri" w:cs="Calibri" w:eastAsia="Calibri" w:hAnsi="Calibri"/>
          <w:b/>
          <w:bCs/>
          <w:color w:val="13243F"/>
          <w:sz w:val="36"/>
          <w:szCs w:val="36"/>
        </w:rPr>
        <w:t xml:space="preserve">Partie VI — Nouveautés LF 2025 et LF 2026</w:t>
      </w:r>
    </w:p>
    <w:p>
      <w:pPr>
        <w:pStyle w:val="Heading2"/>
        <w:spacing w:after="160" w:before="320"/>
      </w:pPr>
      <w:r>
        <w:rPr>
          <w:rFonts w:ascii="Calibri" w:cs="Calibri" w:eastAsia="Calibri" w:hAnsi="Calibri"/>
          <w:b/>
          <w:bCs/>
          <w:color w:val="1F3A68"/>
          <w:sz w:val="28"/>
          <w:szCs w:val="28"/>
        </w:rPr>
        <w:t xml:space="preserve">6.1. Changements de la LF 2025</w:t>
      </w:r>
    </w:p>
    <w:p>
      <w:pPr>
        <w:spacing w:after="120" w:before="0" w:line="320"/>
        <w:jc w:val="both"/>
      </w:pPr>
      <w:r>
        <w:rPr>
          <w:rFonts w:ascii="Calibri" w:cs="Calibri" w:eastAsia="Calibri" w:hAnsi="Calibri"/>
          <w:b w:val="false"/>
          <w:bCs w:val="false"/>
          <w:i w:val="false"/>
          <w:iCs w:val="false"/>
          <w:color w:val="1F2A37"/>
          <w:sz w:val="22"/>
          <w:szCs w:val="22"/>
        </w:rPr>
        <w:t xml:space="preserve">La loi de finances pour l’année 2025 a introduit plusieurs modifications structurantes du système fiscal tunisien :</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Taux IS à 20 % : </w:t>
      </w:r>
      <w:r>
        <w:rPr>
          <w:rFonts w:ascii="Calibri" w:cs="Calibri" w:eastAsia="Calibri" w:hAnsi="Calibri"/>
          <w:b w:val="false"/>
          <w:bCs w:val="false"/>
          <w:i w:val="false"/>
          <w:iCs w:val="false"/>
          <w:color w:val="1F2A37"/>
          <w:sz w:val="22"/>
          <w:szCs w:val="22"/>
        </w:rPr>
        <w:t xml:space="preserve">certaines personnes morales intermédiaires (dont les sociétés cotées en bourse avec ouverture du capital ≥ 30 %) voient leur taux IS porté à 20 %. Cette modification impacte directement le taux de retenue à la source applicable (1 % au lieu de 1,5 %).</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Retenue à la source 3 % pour prestataires de livraison : </w:t>
      </w:r>
      <w:r>
        <w:rPr>
          <w:rFonts w:ascii="Calibri" w:cs="Calibri" w:eastAsia="Calibri" w:hAnsi="Calibri"/>
          <w:b w:val="false"/>
          <w:bCs w:val="false"/>
          <w:i w:val="false"/>
          <w:iCs w:val="false"/>
          <w:color w:val="1F2A37"/>
          <w:sz w:val="22"/>
          <w:szCs w:val="22"/>
        </w:rPr>
        <w:t xml:space="preserve">les plateformes de livraison de biens et de produits doivent opérer une retenue de 3 % sur les montants versés aux fournisseurs ne présentant pas de carte d’identification fiscale (CIF). Sans seuil minimum.</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TVA taux réduit 6 % étendu : </w:t>
      </w:r>
      <w:r>
        <w:rPr>
          <w:rFonts w:ascii="Calibri" w:cs="Calibri" w:eastAsia="Calibri" w:hAnsi="Calibri"/>
          <w:b w:val="false"/>
          <w:bCs w:val="false"/>
          <w:i w:val="false"/>
          <w:iCs w:val="false"/>
          <w:color w:val="1F2A37"/>
          <w:sz w:val="22"/>
          <w:szCs w:val="22"/>
        </w:rPr>
        <w:t xml:space="preserve">le taux réduit de TVA à 6 % est étendu aux activités du secteur de la santé, incluant certaines prestations médicales et paramédicales.</w:t>
      </w:r>
    </w:p>
    <w:p>
      <w:pPr>
        <w:pStyle w:val="Heading2"/>
        <w:spacing w:after="160" w:before="320"/>
      </w:pPr>
      <w:r>
        <w:rPr>
          <w:rFonts w:ascii="Calibri" w:cs="Calibri" w:eastAsia="Calibri" w:hAnsi="Calibri"/>
          <w:b/>
          <w:bCs/>
          <w:color w:val="1F3A68"/>
          <w:sz w:val="28"/>
          <w:szCs w:val="28"/>
        </w:rPr>
        <w:t xml:space="preserve">6.2. Changements de la LF 2026</w:t>
      </w:r>
    </w:p>
    <w:p>
      <w:pPr>
        <w:spacing w:after="120" w:before="0" w:line="320"/>
        <w:jc w:val="both"/>
      </w:pPr>
      <w:r>
        <w:rPr>
          <w:rFonts w:ascii="Calibri" w:cs="Calibri" w:eastAsia="Calibri" w:hAnsi="Calibri"/>
          <w:b w:val="false"/>
          <w:bCs w:val="false"/>
          <w:i w:val="false"/>
          <w:iCs w:val="false"/>
          <w:color w:val="1F2A37"/>
          <w:sz w:val="22"/>
          <w:szCs w:val="22"/>
        </w:rPr>
        <w:t xml:space="preserve">La loi de finances 2026 (loi n° 2025-17 du 12 décembre 2025) introduit des mesures importantes en matière de fiscalité des entreprises, de contribution sociale et de gouvernance fiscale.</w:t>
      </w:r>
    </w:p>
    <w:p>
      <w:pPr>
        <w:pStyle w:val="Heading3"/>
        <w:spacing w:after="120" w:before="240"/>
      </w:pPr>
      <w:r>
        <w:rPr>
          <w:rFonts w:ascii="Calibri" w:cs="Calibri" w:eastAsia="Calibri" w:hAnsi="Calibri"/>
          <w:b/>
          <w:bCs/>
          <w:color w:val="1F3A68"/>
          <w:sz w:val="24"/>
          <w:szCs w:val="24"/>
        </w:rPr>
        <w:t xml:space="preserve">Contribution non conjoncturelle (Art. 20)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C0392B"/>
                <w:sz w:val="22"/>
                <w:szCs w:val="22"/>
              </w:rPr>
              <w:t xml:space="preserve">Contribution non conjoncturelle — taux 4 %</w:t>
            </w:r>
          </w:p>
          <w:p>
            <w:pPr>
              <w:spacing w:after="60" w:line="300"/>
            </w:pPr>
            <w:r>
              <w:rPr>
                <w:rFonts w:ascii="Calibri" w:cs="Calibri" w:eastAsia="Calibri" w:hAnsi="Calibri"/>
                <w:color w:val="1F2A37"/>
                <w:sz w:val="21"/>
                <w:szCs w:val="21"/>
              </w:rPr>
              <w:t xml:space="preserve">Les banques, établissements financiers, sociétés d’assurance, opérateurs télécoms et concessionnaires automobiles sont soumis à une contribution non conjoncturelle de 4 % de leurs bénéfices.</w:t>
            </w:r>
          </w:p>
          <w:p>
            <w:pPr>
              <w:spacing w:after="60" w:line="300"/>
            </w:pPr>
            <w:r>
              <w:rPr>
                <w:rFonts w:ascii="Calibri" w:cs="Calibri" w:eastAsia="Calibri" w:hAnsi="Calibri"/>
                <w:color w:val="1F2A37"/>
                <w:sz w:val="21"/>
                <w:szCs w:val="21"/>
              </w:rPr>
              <w:t xml:space="preserve">Minimum exigible : 10 000 DT.</w:t>
            </w:r>
          </w:p>
          <w:p>
            <w:pPr>
              <w:spacing w:after="60" w:line="300"/>
            </w:pPr>
            <w:r>
              <w:rPr>
                <w:rFonts w:ascii="Calibri" w:cs="Calibri" w:eastAsia="Calibri" w:hAnsi="Calibri"/>
                <w:color w:val="1F2A37"/>
                <w:sz w:val="21"/>
                <w:szCs w:val="21"/>
              </w:rPr>
              <w:t xml:space="preserve">Cette contribution est non déductible de l’IS.</w:t>
            </w:r>
          </w:p>
        </w:tc>
      </w:tr>
    </w:tbl>
    <w:p>
      <w:pPr>
        <w:pStyle w:val="Heading3"/>
        <w:spacing w:after="120" w:before="240"/>
      </w:pPr>
      <w:r>
        <w:rPr>
          <w:rFonts w:ascii="Calibri" w:cs="Calibri" w:eastAsia="Calibri" w:hAnsi="Calibri"/>
          <w:b/>
          <w:bCs/>
          <w:color w:val="1F3A68"/>
          <w:sz w:val="24"/>
          <w:szCs w:val="24"/>
        </w:rPr>
        <w:t xml:space="preserve">CSS prolongée pour 2026 (Art. 87)</w:t>
      </w:r>
    </w:p>
    <w:p>
      <w:pPr>
        <w:spacing w:after="120" w:before="0" w:line="320"/>
        <w:jc w:val="both"/>
      </w:pPr>
      <w:r>
        <w:rPr>
          <w:rFonts w:ascii="Calibri" w:cs="Calibri" w:eastAsia="Calibri" w:hAnsi="Calibri"/>
          <w:b w:val="false"/>
          <w:bCs w:val="false"/>
          <w:i w:val="false"/>
          <w:iCs w:val="false"/>
          <w:color w:val="1F2A37"/>
          <w:sz w:val="22"/>
          <w:szCs w:val="22"/>
        </w:rPr>
        <w:t xml:space="preserve">La Contribution Sociale Solidaire (CSS) est maintenue pour l’exercice 2026 avec les taux suivants selon la catégorie du contribuable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rPr>
          <w:tblHeader/>
        </w:trPr>
        <w:tc>
          <w:tcPr>
            <w:tcW w:type="dxa" w:w="57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Catégorie de contribuable</w:t>
            </w:r>
          </w:p>
        </w:tc>
        <w:tc>
          <w:tcPr>
            <w:tcW w:type="dxa" w:w="36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Taux CSS / Forfait</w:t>
            </w:r>
          </w:p>
        </w:tc>
      </w:tr>
      <w:tr>
        <w:tc>
          <w:tcPr>
            <w:tcW w:type="dxa" w:w="5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Personne physique — taux général (exonéré si revenu net ≤ 5 000 DT après charges)</w:t>
            </w:r>
          </w:p>
        </w:tc>
        <w:tc>
          <w:tcPr>
            <w:tcW w:type="dxa" w:w="3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0,5 % du revenu imposable</w:t>
            </w:r>
          </w:p>
        </w:tc>
      </w:tr>
      <w:tr>
        <w:tc>
          <w:tcPr>
            <w:tcW w:type="dxa" w:w="5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Entreprises soumises à l’IS à 35 % ou 40 %</w:t>
            </w:r>
          </w:p>
        </w:tc>
        <w:tc>
          <w:tcPr>
            <w:tcW w:type="dxa" w:w="3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4 % du bénéfice (min 500 DT)</w:t>
            </w:r>
          </w:p>
        </w:tc>
      </w:tr>
      <w:tr>
        <w:tc>
          <w:tcPr>
            <w:tcW w:type="dxa" w:w="5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Entreprises soumises à l’IS à 20 %</w:t>
            </w:r>
          </w:p>
        </w:tc>
        <w:tc>
          <w:tcPr>
            <w:tcW w:type="dxa" w:w="3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3 % du bénéfice (min 400 DT)</w:t>
            </w:r>
          </w:p>
        </w:tc>
      </w:tr>
      <w:tr>
        <w:tc>
          <w:tcPr>
            <w:tcW w:type="dxa" w:w="5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Entreprises soumises à l’IS à 10 %</w:t>
            </w:r>
          </w:p>
        </w:tc>
        <w:tc>
          <w:tcPr>
            <w:tcW w:type="dxa" w:w="3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3 % du bénéfice (min 200 DT)</w:t>
            </w:r>
          </w:p>
        </w:tc>
      </w:tr>
      <w:tr>
        <w:tc>
          <w:tcPr>
            <w:tcW w:type="dxa" w:w="5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Entreprises exonérées d’IS</w:t>
            </w:r>
          </w:p>
        </w:tc>
        <w:tc>
          <w:tcPr>
            <w:tcW w:type="dxa" w:w="3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Forfait 400 DT</w:t>
            </w:r>
          </w:p>
        </w:tc>
      </w:tr>
      <w:tr>
        <w:tc>
          <w:tcPr>
            <w:tcW w:type="dxa" w:w="5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CSS sur salaires (retenue employé)</w:t>
            </w:r>
          </w:p>
        </w:tc>
        <w:tc>
          <w:tcPr>
            <w:tcW w:type="dxa" w:w="3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0,5 % du salaire brut</w:t>
            </w:r>
          </w:p>
        </w:tc>
      </w:tr>
    </w:tbl>
    <w:p>
      <w:pPr>
        <w:spacing w:after="120"/>
      </w:pPr>
      <w:r>
        <w:t xml:space="preserve"/>
      </w:r>
    </w:p>
    <w:p>
      <w:pPr>
        <w:pStyle w:val="Heading3"/>
        <w:spacing w:after="120" w:before="240"/>
      </w:pPr>
      <w:r>
        <w:rPr>
          <w:rFonts w:ascii="Calibri" w:cs="Calibri" w:eastAsia="Calibri" w:hAnsi="Calibri"/>
          <w:b/>
          <w:bCs/>
          <w:color w:val="1F3A68"/>
          <w:sz w:val="24"/>
          <w:szCs w:val="24"/>
        </w:rPr>
        <w:t xml:space="preserve">Paiement en espèces — nouvelles sanctions</w:t>
      </w:r>
    </w:p>
    <w:p>
      <w:pPr>
        <w:spacing w:after="120" w:before="0" w:line="320"/>
        <w:jc w:val="both"/>
      </w:pPr>
      <w:r>
        <w:rPr>
          <w:rFonts w:ascii="Calibri" w:cs="Calibri" w:eastAsia="Calibri" w:hAnsi="Calibri"/>
          <w:b w:val="false"/>
          <w:bCs w:val="false"/>
          <w:i w:val="false"/>
          <w:iCs w:val="false"/>
          <w:color w:val="1F2A37"/>
          <w:sz w:val="22"/>
          <w:szCs w:val="22"/>
        </w:rPr>
        <w:t xml:space="preserve">La LF 2026 durcit les règles encadrant les transactions en espèces :</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Achats en espèces ≥ 5 000 DT (Art. 83 ter) : </w:t>
      </w:r>
      <w:r>
        <w:rPr>
          <w:rFonts w:ascii="Calibri" w:cs="Calibri" w:eastAsia="Calibri" w:hAnsi="Calibri"/>
          <w:b w:val="false"/>
          <w:bCs w:val="false"/>
          <w:i w:val="false"/>
          <w:iCs w:val="false"/>
          <w:color w:val="1F2A37"/>
          <w:sz w:val="22"/>
          <w:szCs w:val="22"/>
        </w:rPr>
        <w:t xml:space="preserve">amende de 20 % du montant payé en espèces, avec un minimum de 2 000 DT. Cette règle s’applique à tout paiement commercial dépassant ce seuil réglé en numéraire.</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Ventes en espèces &gt; 5 000 DT non déclarées (Art. 84 quater) : </w:t>
      </w:r>
      <w:r>
        <w:rPr>
          <w:rFonts w:ascii="Calibri" w:cs="Calibri" w:eastAsia="Calibri" w:hAnsi="Calibri"/>
          <w:b w:val="false"/>
          <w:bCs w:val="false"/>
          <w:i w:val="false"/>
          <w:iCs w:val="false"/>
          <w:color w:val="1F2A37"/>
          <w:sz w:val="22"/>
          <w:szCs w:val="22"/>
        </w:rPr>
        <w:t xml:space="preserve">amende de 8 % des recouvrements en espèces non déclarés, applicable aux vendeurs n’identifiant pas leurs clients pour des transactions dépassant 5 000 DT.</w:t>
      </w:r>
    </w:p>
    <w:p>
      <w:pPr>
        <w:pStyle w:val="Heading3"/>
        <w:spacing w:after="120" w:before="240"/>
      </w:pPr>
      <w:r>
        <w:rPr>
          <w:rFonts w:ascii="Calibri" w:cs="Calibri" w:eastAsia="Calibri" w:hAnsi="Calibri"/>
          <w:b/>
          <w:bCs/>
          <w:color w:val="1F3A68"/>
          <w:sz w:val="24"/>
          <w:szCs w:val="24"/>
        </w:rPr>
        <w:t xml:space="preserve">Facture électronique étendue (Art. 53)</w:t>
      </w:r>
    </w:p>
    <w:p>
      <w:pPr>
        <w:spacing w:after="120" w:before="0" w:line="320"/>
        <w:jc w:val="both"/>
      </w:pPr>
      <w:r>
        <w:rPr>
          <w:rFonts w:ascii="Calibri" w:cs="Calibri" w:eastAsia="Calibri" w:hAnsi="Calibri"/>
          <w:b w:val="false"/>
          <w:bCs w:val="false"/>
          <w:i w:val="false"/>
          <w:iCs w:val="false"/>
          <w:color w:val="1F2A37"/>
          <w:sz w:val="22"/>
          <w:szCs w:val="22"/>
        </w:rPr>
        <w:t xml:space="preserve">La LF 2026 étend l’obligation de la facture électronique à toutes les prestations de services dès le 1er janvier 2026, y compris les professions libérales et les contribuables sous régime forfaitaire BIC pour les prestations de services dépassant 500 DT.</w:t>
      </w:r>
    </w:p>
    <w:p>
      <w:pPr>
        <w:pStyle w:val="Heading3"/>
        <w:spacing w:after="120" w:before="240"/>
      </w:pPr>
      <w:r>
        <w:rPr>
          <w:rFonts w:ascii="Calibri" w:cs="Calibri" w:eastAsia="Calibri" w:hAnsi="Calibri"/>
          <w:b/>
          <w:bCs/>
          <w:color w:val="1F3A68"/>
          <w:sz w:val="24"/>
          <w:szCs w:val="24"/>
        </w:rPr>
        <w:t xml:space="preserve">Régime forfaitaire BIC optionnel (Art. 91)</w:t>
      </w:r>
    </w:p>
    <w:p>
      <w:pPr>
        <w:spacing w:after="120" w:before="0" w:line="320"/>
        <w:jc w:val="both"/>
      </w:pPr>
      <w:r>
        <w:rPr>
          <w:rFonts w:ascii="Calibri" w:cs="Calibri" w:eastAsia="Calibri" w:hAnsi="Calibri"/>
          <w:b w:val="false"/>
          <w:bCs w:val="false"/>
          <w:i w:val="false"/>
          <w:iCs w:val="false"/>
          <w:color w:val="1F2A37"/>
          <w:sz w:val="22"/>
          <w:szCs w:val="22"/>
        </w:rPr>
        <w:t xml:space="preserve">La LF 2026 révise les montants d’impôt annuel du régime forfaitaire BIC :</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Catégorie 1 — CA ≤ 50 000 DT : impôt annuel de 4 000 DT, payable en 2 tranches (avant le 25 avril et avant le 25 octobre).</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Catégorie 2 — CA entre 50 001 et 100 000 DT : impôt annuel de 5 000 DT, mêmes échéances.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Réduction de 50 % pour les activités exercées en zone rurale.</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Exonération de contrôle fiscal pendant 6 ans.</w:t>
      </w:r>
    </w:p>
    <w:p>
      <w:pPr>
        <w:pStyle w:val="Heading3"/>
        <w:spacing w:after="120" w:before="240"/>
      </w:pPr>
      <w:r>
        <w:rPr>
          <w:rFonts w:ascii="Calibri" w:cs="Calibri" w:eastAsia="Calibri" w:hAnsi="Calibri"/>
          <w:b/>
          <w:bCs/>
          <w:color w:val="1F3A68"/>
          <w:sz w:val="24"/>
          <w:szCs w:val="24"/>
        </w:rPr>
        <w:t xml:space="preserve">Impôt sur la fortune (Art. 88)</w:t>
      </w:r>
    </w:p>
    <w:p>
      <w:pPr>
        <w:spacing w:after="120" w:before="0" w:line="320"/>
        <w:jc w:val="both"/>
      </w:pPr>
      <w:r>
        <w:rPr>
          <w:rFonts w:ascii="Calibri" w:cs="Calibri" w:eastAsia="Calibri" w:hAnsi="Calibri"/>
          <w:b w:val="false"/>
          <w:bCs w:val="false"/>
          <w:i w:val="false"/>
          <w:iCs w:val="false"/>
          <w:color w:val="1F2A37"/>
          <w:sz w:val="22"/>
          <w:szCs w:val="22"/>
        </w:rPr>
        <w:t xml:space="preserve">La LF 2026 instaure un impôt annuel sur la fortune, applicable aux personnes physiques détenant un patrimoine net imposable significatif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rPr>
          <w:tblHeader/>
        </w:trPr>
        <w:tc>
          <w:tcPr>
            <w:tcW w:type="dxa" w:w="57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Tranche de patrimoine net imposable</w:t>
            </w:r>
          </w:p>
        </w:tc>
        <w:tc>
          <w:tcPr>
            <w:tcW w:type="dxa" w:w="36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Taux</w:t>
            </w:r>
          </w:p>
        </w:tc>
      </w:tr>
      <w:tr>
        <w:tc>
          <w:tcPr>
            <w:tcW w:type="dxa" w:w="5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Entre 3 000 000 et 5 000 000 DT</w:t>
            </w:r>
          </w:p>
        </w:tc>
        <w:tc>
          <w:tcPr>
            <w:tcW w:type="dxa" w:w="3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0,5 %</w:t>
            </w:r>
          </w:p>
        </w:tc>
      </w:tr>
      <w:tr>
        <w:tc>
          <w:tcPr>
            <w:tcW w:type="dxa" w:w="5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Au-delà de 5 000 000 DT</w:t>
            </w:r>
          </w:p>
        </w:tc>
        <w:tc>
          <w:tcPr>
            <w:tcW w:type="dxa" w:w="3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C0392B"/>
                <w:sz w:val="20"/>
                <w:szCs w:val="20"/>
              </w:rPr>
              <w:t xml:space="preserve">1 %</w:t>
            </w:r>
          </w:p>
        </w:tc>
      </w:tr>
    </w:tbl>
    <w:p>
      <w:pPr>
        <w:spacing w:after="80"/>
      </w:pPr>
      <w:r>
        <w:t xml:space="preserve"/>
      </w:r>
    </w:p>
    <w:p>
      <w:pPr>
        <w:spacing w:after="120" w:before="0" w:line="320"/>
        <w:jc w:val="both"/>
      </w:pPr>
      <w:r>
        <w:rPr>
          <w:rFonts w:ascii="Calibri" w:cs="Calibri" w:eastAsia="Calibri" w:hAnsi="Calibri"/>
          <w:b w:val="false"/>
          <w:bCs w:val="false"/>
          <w:i w:val="false"/>
          <w:iCs w:val="false"/>
          <w:color w:val="1F2A37"/>
          <w:sz w:val="22"/>
          <w:szCs w:val="22"/>
        </w:rPr>
        <w:t xml:space="preserve">Délai de déclaration : 30 juin de chaque année. Sont exclus du patrimoine imposable : l’habitation principale, les biens professionnels, les véhicules d’une puissance ≤ 12 CV, et les dépôts bancaires.</w:t>
      </w:r>
    </w:p>
    <w:p>
      <w:pPr>
        <w:pStyle w:val="Heading3"/>
        <w:spacing w:after="120" w:before="240"/>
      </w:pPr>
      <w:r>
        <w:rPr>
          <w:rFonts w:ascii="Calibri" w:cs="Calibri" w:eastAsia="Calibri" w:hAnsi="Calibri"/>
          <w:b/>
          <w:bCs/>
          <w:color w:val="1F3A68"/>
          <w:sz w:val="24"/>
          <w:szCs w:val="24"/>
        </w:rPr>
        <w:t xml:space="preserve">Abattement progressif sur les pensions de retraite (Art. 56)</w:t>
      </w:r>
    </w:p>
    <w:p>
      <w:pPr>
        <w:spacing w:after="120" w:before="0" w:line="320"/>
        <w:jc w:val="both"/>
      </w:pPr>
      <w:r>
        <w:rPr>
          <w:rFonts w:ascii="Calibri" w:cs="Calibri" w:eastAsia="Calibri" w:hAnsi="Calibri"/>
          <w:b w:val="false"/>
          <w:bCs w:val="false"/>
          <w:i w:val="false"/>
          <w:iCs w:val="false"/>
          <w:color w:val="1F2A37"/>
          <w:sz w:val="22"/>
          <w:szCs w:val="22"/>
        </w:rPr>
        <w:t xml:space="preserve">La LF 2026 introduit un abattement progressif pour les pensions de retraite soumises à l’IRPP :</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30 % d’abattement à compter du 1er janvier 2027.</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40 % d’abattement à compter du 1er janvier 2028.</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50 % d’abattement à compter du 1er janvier 2029.</w:t>
      </w:r>
    </w:p>
    <w:p>
      <w:pPr>
        <w:pStyle w:val="Heading3"/>
        <w:spacing w:after="120" w:before="240"/>
      </w:pPr>
      <w:r>
        <w:rPr>
          <w:rFonts w:ascii="Calibri" w:cs="Calibri" w:eastAsia="Calibri" w:hAnsi="Calibri"/>
          <w:b/>
          <w:bCs/>
          <w:color w:val="1F3A68"/>
          <w:sz w:val="24"/>
          <w:szCs w:val="24"/>
        </w:rPr>
        <w:t xml:space="preserve">Amnistie fiscale 2026 (Art. 69)</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D4A017"/>
                <w:sz w:val="22"/>
                <w:szCs w:val="22"/>
              </w:rPr>
              <w:t xml:space="preserve">Fenêtre d’amnistie fiscale</w:t>
            </w:r>
          </w:p>
          <w:p>
            <w:pPr>
              <w:spacing w:after="60" w:line="300"/>
            </w:pPr>
            <w:r>
              <w:rPr>
                <w:rFonts w:ascii="Calibri" w:cs="Calibri" w:eastAsia="Calibri" w:hAnsi="Calibri"/>
                <w:color w:val="1F2A37"/>
                <w:sz w:val="21"/>
                <w:szCs w:val="21"/>
              </w:rPr>
              <w:t xml:space="preserve">Les contribuables qui déposent leurs déclarations en défaut ou leurs déclarations rectificatives entre le 1er janvier et le 30 septembre 2026 bénéficient de l’abandon des pénalités.</w:t>
            </w:r>
          </w:p>
          <w:p>
            <w:pPr>
              <w:spacing w:after="60" w:line="300"/>
            </w:pPr>
            <w:r>
              <w:rPr>
                <w:rFonts w:ascii="Calibri" w:cs="Calibri" w:eastAsia="Calibri" w:hAnsi="Calibri"/>
                <w:color w:val="1F2A37"/>
                <w:sz w:val="21"/>
                <w:szCs w:val="21"/>
              </w:rPr>
              <w:t xml:space="preserve">Conditions : respecter un échéancier de paiement avec clôture avant le 30 juin 2026 pour l’abandon total des pénalités.</w:t>
            </w:r>
          </w:p>
          <w:p>
            <w:pPr>
              <w:spacing w:after="60" w:line="300"/>
            </w:pPr>
            <w:r>
              <w:rPr>
                <w:rFonts w:ascii="Calibri" w:cs="Calibri" w:eastAsia="Calibri" w:hAnsi="Calibri"/>
                <w:color w:val="1F2A37"/>
                <w:sz w:val="21"/>
                <w:szCs w:val="21"/>
              </w:rPr>
              <w:t xml:space="preserve">Cette mesure concerne aussi bien les déclarations mensuelles que les déclarations annuelles en retard.</w:t>
            </w:r>
          </w:p>
        </w:tc>
      </w:tr>
    </w:tbl>
    <w:p>
      <w:pPr>
        <w:spacing w:after="120"/>
      </w:pPr>
      <w:r>
        <w:t xml:space="preserve"/>
      </w:r>
    </w:p>
    <w:p>
      <w:pPr>
        <w:pStyle w:val="Heading2"/>
        <w:spacing w:after="160" w:before="320"/>
      </w:pPr>
      <w:r>
        <w:rPr>
          <w:rFonts w:ascii="Calibri" w:cs="Calibri" w:eastAsia="Calibri" w:hAnsi="Calibri"/>
          <w:b/>
          <w:bCs/>
          <w:color w:val="1F3A68"/>
          <w:sz w:val="28"/>
          <w:szCs w:val="28"/>
        </w:rPr>
        <w:t xml:space="preserve">6.3. Sanctions principales en cas de défaut</w:t>
      </w:r>
    </w:p>
    <w:p>
      <w:pPr>
        <w:spacing w:after="120" w:before="0" w:line="320"/>
        <w:jc w:val="both"/>
      </w:pPr>
      <w:r>
        <w:rPr>
          <w:rFonts w:ascii="Calibri" w:cs="Calibri" w:eastAsia="Calibri" w:hAnsi="Calibri"/>
          <w:b w:val="false"/>
          <w:bCs w:val="false"/>
          <w:i w:val="false"/>
          <w:iCs w:val="false"/>
          <w:color w:val="1F2A37"/>
          <w:sz w:val="22"/>
          <w:szCs w:val="22"/>
        </w:rPr>
        <w:t xml:space="preserve">Le système de sanctions en matière fiscale est articulé autour du Code des Droits et Procédures Fiscaux (CDPF). Le tableau ci-dessous synthétise les sanctions clés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Référence légale</w:t>
            </w:r>
          </w:p>
        </w:tc>
        <w:tc>
          <w:tcPr>
            <w:tcW w:type="dxa" w:w="69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Nature de la sanction</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Art. 83 CDPF</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100 % de la retenue non effectuée ou insuffisamment effectuée. Doublée en cas de récidive dans les 2 ans.</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Art. 83 ter (LF 2026)</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20 % du montant des achats réglés en espèces ≥ 5 000 DT (minimum 2 000 DT).</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Art. 84 quater (LF 2026)</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8 % des recouvrements en espèces &gt; 5 000 DT non déclarés auprès de l’administration.</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C0392B"/>
                <w:sz w:val="20"/>
                <w:szCs w:val="20"/>
              </w:rPr>
              <w:t xml:space="preserve">Art. 92 CDPF</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Emprisonnement de 16 jours à 3 ans + amende de 1 000 à 50 000 DT en cas de non-reversement des retenues dans les 6 mois suivant l’échéance.</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Art. 105 CDPF</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200 % du montant des retenues non certifiées ou non remises au bénéficiaire. Minimum 100 DT, maximum 5 000 DT.</w:t>
            </w:r>
          </w:p>
        </w:tc>
      </w:tr>
      <w:tr>
        <w:tc>
          <w:tcPr>
            <w:tcW w:type="dxa" w:w="24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LF 2022 Art. 41</w:t>
            </w:r>
          </w:p>
        </w:tc>
        <w:tc>
          <w:tcPr>
            <w:tcW w:type="dxa" w:w="69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30 % du montant retenu pour attestations émises hors plateforme TEJ (minimum 50 DT par attestation). Cumulatif avec l’art. 83 CDPF.</w:t>
            </w:r>
          </w:p>
        </w:tc>
      </w:tr>
      <w:tr>
        <w:tc>
          <w:tcPr>
            <w:tcW w:type="dxa" w:w="24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bCs/>
                <w:color w:val="1F2A37"/>
                <w:sz w:val="20"/>
                <w:szCs w:val="20"/>
              </w:rPr>
              <w:t xml:space="preserve">Art. 86 CDPF</w:t>
            </w:r>
          </w:p>
        </w:tc>
        <w:tc>
          <w:tcPr>
            <w:tcW w:type="dxa" w:w="69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Pénalité de retard : 0,75 % par mois ou fraction de mois entre la date d’exigibilité et la date de paiement effectif.</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C0392B"/>
                <w:sz w:val="22"/>
                <w:szCs w:val="22"/>
              </w:rPr>
              <w:t xml:space="preserve">À retenir — Double sanction art. 14</w:t>
            </w:r>
          </w:p>
          <w:p>
            <w:pPr>
              <w:spacing w:after="60" w:line="300"/>
            </w:pPr>
            <w:r>
              <w:rPr>
                <w:rFonts w:ascii="Calibri" w:cs="Calibri" w:eastAsia="Calibri" w:hAnsi="Calibri"/>
                <w:color w:val="1F2A37"/>
                <w:sz w:val="21"/>
                <w:szCs w:val="21"/>
              </w:rPr>
              <w:t xml:space="preserve">Les charges (honoraires, loyers, commissions) pour lesquelles la retenue à la source n’a pas été effectuée sont réintégrées dans le bénéfice imposable (art. 14 Code IRPP/IS), ce qui entraîne un surcroît d’IS ou d’IRPP en plus de la pénalité de l’art. 83.</w:t>
            </w:r>
          </w:p>
          <w:p>
            <w:pPr>
              <w:spacing w:after="60" w:line="300"/>
            </w:pPr>
            <w:r>
              <w:rPr>
                <w:rFonts w:ascii="Calibri" w:cs="Calibri" w:eastAsia="Calibri" w:hAnsi="Calibri"/>
                <w:color w:val="1F2A37"/>
                <w:sz w:val="21"/>
                <w:szCs w:val="21"/>
              </w:rPr>
              <w:t xml:space="preserve">Exemple : 10 000 DT d’honoraires sans retenue (3 %) = pénalité 300 DT + réintégration IS 2 000 DT (20 %) = coût total 2 300 DT hors pénalités de retard.</w:t>
            </w:r>
          </w:p>
        </w:tc>
      </w:tr>
    </w:tbl>
    <w:p>
      <w:r>
        <w:br w:type="page"/>
      </w:r>
    </w:p>
    <w:p>
      <w:pPr>
        <w:pStyle w:val="Heading1"/>
        <w:spacing w:after="220" w:before="480"/>
      </w:pPr>
      <w:r>
        <w:rPr>
          <w:rFonts w:ascii="Calibri" w:cs="Calibri" w:eastAsia="Calibri" w:hAnsi="Calibri"/>
          <w:b/>
          <w:bCs/>
          <w:color w:val="13243F"/>
          <w:sz w:val="36"/>
          <w:szCs w:val="36"/>
        </w:rPr>
        <w:t xml:space="preserve">Partie VII — Recommandations opérationnelles</w:t>
      </w:r>
    </w:p>
    <w:p>
      <w:pPr>
        <w:spacing w:after="120" w:before="0" w:line="320"/>
        <w:jc w:val="both"/>
      </w:pPr>
      <w:r>
        <w:rPr>
          <w:rFonts w:ascii="Calibri" w:cs="Calibri" w:eastAsia="Calibri" w:hAnsi="Calibri"/>
          <w:b w:val="false"/>
          <w:bCs w:val="false"/>
          <w:i w:val="false"/>
          <w:iCs w:val="false"/>
          <w:color w:val="1F2A37"/>
          <w:sz w:val="22"/>
          <w:szCs w:val="22"/>
        </w:rPr>
        <w:t xml:space="preserve">La conformité fiscale et sociale ne se limite pas à la connaissance des taux et des délais. Elle repose sur des pratiques opérationnelles rigoureuses, une organisation interne adaptée et une veille réglementaire permanente. Cette partie propose des recommandations pratiques différenciées selon le profil du lecteur.</w:t>
      </w:r>
    </w:p>
    <w:p>
      <w:pPr>
        <w:pStyle w:val="Heading2"/>
        <w:spacing w:after="160" w:before="320"/>
      </w:pPr>
      <w:r>
        <w:rPr>
          <w:rFonts w:ascii="Calibri" w:cs="Calibri" w:eastAsia="Calibri" w:hAnsi="Calibri"/>
          <w:b/>
          <w:bCs/>
          <w:color w:val="1F3A68"/>
          <w:sz w:val="28"/>
          <w:szCs w:val="28"/>
        </w:rPr>
        <w:t xml:space="preserve">7.1. Pour les dirigeants d’entreprise</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Mettre en place un calendrier fiscal et social : </w:t>
      </w:r>
      <w:r>
        <w:rPr>
          <w:rFonts w:ascii="Calibri" w:cs="Calibri" w:eastAsia="Calibri" w:hAnsi="Calibri"/>
          <w:b w:val="false"/>
          <w:bCs w:val="false"/>
          <w:i w:val="false"/>
          <w:iCs w:val="false"/>
          <w:color w:val="1F2A37"/>
          <w:sz w:val="22"/>
          <w:szCs w:val="22"/>
        </w:rPr>
        <w:t xml:space="preserve">créer un tableau de bord mensuel regroupant toutes les échéances (déclarations mensuelles PP/PM, CNSS trimestrielle, acomptes provisionnels, déclaration employeur, états financiers). Attribuer un responsable et prévoir des alertes à J-10 avant chaque échéance.</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Adhérer aux plateformes numériques : </w:t>
      </w:r>
      <w:r>
        <w:rPr>
          <w:rFonts w:ascii="Calibri" w:cs="Calibri" w:eastAsia="Calibri" w:hAnsi="Calibri"/>
          <w:b w:val="false"/>
          <w:bCs w:val="false"/>
          <w:i w:val="false"/>
          <w:iCs w:val="false"/>
          <w:color w:val="1F2A37"/>
          <w:sz w:val="22"/>
          <w:szCs w:val="22"/>
        </w:rPr>
        <w:t xml:space="preserve">E-Jebeya pour les déclarations fiscales, TEJ pour les certificats de retenue à la source, Damancom pour la CNSS. L’investissement initial en temps est largement compensé par le délai supplémentaire accordié (20 du mois au lieu de 28) et la sécurisation des obligations.</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Sécuriser la trésorerie fiscale : </w:t>
      </w:r>
      <w:r>
        <w:rPr>
          <w:rFonts w:ascii="Calibri" w:cs="Calibri" w:eastAsia="Calibri" w:hAnsi="Calibri"/>
          <w:b w:val="false"/>
          <w:bCs w:val="false"/>
          <w:i w:val="false"/>
          <w:iCs w:val="false"/>
          <w:color w:val="1F2A37"/>
          <w:sz w:val="22"/>
          <w:szCs w:val="22"/>
        </w:rPr>
        <w:t xml:space="preserve">provisionner mensuellement 30 % de l’IS estimé pour faire face aux acomptes provisionnels de juin, septembre et décembre. Anticiper la CSS et, le cas échéant, la contribution non conjoncturelle (secteurs concernés).</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Vérifier les situations fiscales fournisseurs : </w:t>
      </w:r>
      <w:r>
        <w:rPr>
          <w:rFonts w:ascii="Calibri" w:cs="Calibri" w:eastAsia="Calibri" w:hAnsi="Calibri"/>
          <w:b w:val="false"/>
          <w:bCs w:val="false"/>
          <w:i w:val="false"/>
          <w:iCs w:val="false"/>
          <w:color w:val="1F2A37"/>
          <w:sz w:val="22"/>
          <w:szCs w:val="22"/>
        </w:rPr>
        <w:t xml:space="preserve">avant tout paiement dépassant 1 000 DT, consulter la situation fiscale du fournisseur via le SMS 85580 (SF + matricule fiscal) ou la plateforme TEJ, afin de déterminer le bon taux de retenue à la source applicable.</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Profiter de l’amnistie fiscale 2026 : </w:t>
      </w:r>
      <w:r>
        <w:rPr>
          <w:rFonts w:ascii="Calibri" w:cs="Calibri" w:eastAsia="Calibri" w:hAnsi="Calibri"/>
          <w:b w:val="false"/>
          <w:bCs w:val="false"/>
          <w:i w:val="false"/>
          <w:iCs w:val="false"/>
          <w:color w:val="1F2A37"/>
          <w:sz w:val="22"/>
          <w:szCs w:val="22"/>
        </w:rPr>
        <w:t xml:space="preserve">toute déclaration en retard déposée avant le 30 septembre 2026 bénéficie de l’abandon des pénalités. C’est une opportunité rare de régulariser des années antérieures à moindre coût.</w:t>
      </w:r>
    </w:p>
    <w:p>
      <w:pPr>
        <w:pStyle w:val="Heading2"/>
        <w:spacing w:after="160" w:before="320"/>
      </w:pPr>
      <w:r>
        <w:rPr>
          <w:rFonts w:ascii="Calibri" w:cs="Calibri" w:eastAsia="Calibri" w:hAnsi="Calibri"/>
          <w:b/>
          <w:bCs/>
          <w:color w:val="1F3A68"/>
          <w:sz w:val="28"/>
          <w:szCs w:val="28"/>
        </w:rPr>
        <w:t xml:space="preserve">7.2. Pour les comptables et responsables administratifs et financiers</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Rapprocher mensuellement les comptes de taxes : </w:t>
      </w:r>
      <w:r>
        <w:rPr>
          <w:rFonts w:ascii="Calibri" w:cs="Calibri" w:eastAsia="Calibri" w:hAnsi="Calibri"/>
          <w:b w:val="false"/>
          <w:bCs w:val="false"/>
          <w:i w:val="false"/>
          <w:iCs w:val="false"/>
          <w:color w:val="1F2A37"/>
          <w:sz w:val="22"/>
          <w:szCs w:val="22"/>
        </w:rPr>
        <w:t xml:space="preserve">s’assurer que les comptes 43 (TVA), 447 (retenues à la source), 441 (TFP/FOPROLOS), 4311 (CNSS part patronale) et 4312 (CNSS part salariale) correspondent exactement aux déclarations déposées.</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Automatiser les calculs de retenue : </w:t>
      </w:r>
      <w:r>
        <w:rPr>
          <w:rFonts w:ascii="Calibri" w:cs="Calibri" w:eastAsia="Calibri" w:hAnsi="Calibri"/>
          <w:b w:val="false"/>
          <w:bCs w:val="false"/>
          <w:i w:val="false"/>
          <w:iCs w:val="false"/>
          <w:color w:val="1F2A37"/>
          <w:sz w:val="22"/>
          <w:szCs w:val="22"/>
        </w:rPr>
        <w:t xml:space="preserve">intégrer dans le logiciel comptable (Sage, QuickBooks, ERP local) une table des taux de retenue par catégorie de fournisseur. Bloquer tout paiement sans certificat TEJ généré lorsque la retenue est due.</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Anticiper la déclaration d’employeur : </w:t>
      </w:r>
      <w:r>
        <w:rPr>
          <w:rFonts w:ascii="Calibri" w:cs="Calibri" w:eastAsia="Calibri" w:hAnsi="Calibri"/>
          <w:b w:val="false"/>
          <w:bCs w:val="false"/>
          <w:i w:val="false"/>
          <w:iCs w:val="false"/>
          <w:color w:val="1F2A37"/>
          <w:sz w:val="22"/>
          <w:szCs w:val="22"/>
        </w:rPr>
        <w:t xml:space="preserve">ne pas attendre le 30 avril pour contrôler les données. Dès janvier, réconcilier le fichier des bénéficiaires (salariés, prestataires, propriétaires bailleurs) avec les retenues déclarées mensuellement.</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Suivre les seuils de paiement en espèces : </w:t>
      </w:r>
      <w:r>
        <w:rPr>
          <w:rFonts w:ascii="Calibri" w:cs="Calibri" w:eastAsia="Calibri" w:hAnsi="Calibri"/>
          <w:b w:val="false"/>
          <w:bCs w:val="false"/>
          <w:i w:val="false"/>
          <w:iCs w:val="false"/>
          <w:color w:val="1F2A37"/>
          <w:sz w:val="22"/>
          <w:szCs w:val="22"/>
        </w:rPr>
        <w:t xml:space="preserve">depuis la LF 2026, tout paiement professionnel en espèces ≥ 5 000 DT est pénalisé à 20 %. Privilégier le virement bancaire, le chèque barré ou la carte de paiement pour toute transaction dépassant ce seuil.</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Archiver et documenter : </w:t>
      </w:r>
      <w:r>
        <w:rPr>
          <w:rFonts w:ascii="Calibri" w:cs="Calibri" w:eastAsia="Calibri" w:hAnsi="Calibri"/>
          <w:b w:val="false"/>
          <w:bCs w:val="false"/>
          <w:i w:val="false"/>
          <w:iCs w:val="false"/>
          <w:color w:val="1F2A37"/>
          <w:sz w:val="22"/>
          <w:szCs w:val="22"/>
        </w:rPr>
        <w:t xml:space="preserve">conserver les quittances de télépaiement, les bordereaux CNSS, les certificats TEJ et les déclarations déposées pendant au moins 10 ans. En cas de contrôle fiscal, ces documents sont les pièces justificatives prioritaires.</w:t>
      </w:r>
    </w:p>
    <w:p>
      <w:pPr>
        <w:pStyle w:val="Heading2"/>
        <w:spacing w:after="160" w:before="320"/>
      </w:pPr>
      <w:r>
        <w:rPr>
          <w:rFonts w:ascii="Calibri" w:cs="Calibri" w:eastAsia="Calibri" w:hAnsi="Calibri"/>
          <w:b/>
          <w:bCs/>
          <w:color w:val="1F3A68"/>
          <w:sz w:val="28"/>
          <w:szCs w:val="28"/>
        </w:rPr>
        <w:t xml:space="preserve">7.3. Pour les professions libérales et travailleurs non salariés (TNS)</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Choisir et conserver son régime fiscal : </w:t>
      </w:r>
      <w:r>
        <w:rPr>
          <w:rFonts w:ascii="Calibri" w:cs="Calibri" w:eastAsia="Calibri" w:hAnsi="Calibri"/>
          <w:b w:val="false"/>
          <w:bCs w:val="false"/>
          <w:i w:val="false"/>
          <w:iCs w:val="false"/>
          <w:color w:val="1F2A37"/>
          <w:sz w:val="22"/>
          <w:szCs w:val="22"/>
        </w:rPr>
        <w:t xml:space="preserve">le passage du régime forfaitaire BIC au régime réel ou du forfait d’assiette BNC au régime réel entraîne un changement du taux de retenue à la source subi (de 10 % à 3 %). Évaluer annuellement la pertinence de son régime.</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Gérer sa classe CNSS avec discernement : </w:t>
      </w:r>
      <w:r>
        <w:rPr>
          <w:rFonts w:ascii="Calibri" w:cs="Calibri" w:eastAsia="Calibri" w:hAnsi="Calibri"/>
          <w:b w:val="false"/>
          <w:bCs w:val="false"/>
          <w:i w:val="false"/>
          <w:iCs w:val="false"/>
          <w:color w:val="1F2A37"/>
          <w:sz w:val="22"/>
          <w:szCs w:val="22"/>
        </w:rPr>
        <w:t xml:space="preserve">la classe plancher est un minimum légal. Certains professionnels ont intérêt à cotiser dans une classe supérieure pour améliorer leurs droits à la retraite et aux prestations sociales. Un calcul actuariel s’impose avant toute décision.</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Déclarer systématiquement les retenues subies : </w:t>
      </w:r>
      <w:r>
        <w:rPr>
          <w:rFonts w:ascii="Calibri" w:cs="Calibri" w:eastAsia="Calibri" w:hAnsi="Calibri"/>
          <w:b w:val="false"/>
          <w:bCs w:val="false"/>
          <w:i w:val="false"/>
          <w:iCs w:val="false"/>
          <w:color w:val="1F2A37"/>
          <w:sz w:val="22"/>
          <w:szCs w:val="22"/>
        </w:rPr>
        <w:t xml:space="preserve">conserver tous les certificats TEJ reçus des clients et les imputer sur l’IRPP ou l’IS lors de la liquidation annuelle. Tout certificat non imputable constitue un crédit d’impôt restituable sous conditions.</w:t>
      </w:r>
    </w:p>
    <w:p>
      <w:pPr>
        <w:pStyle w:val="ListParagraph"/>
        <w:numPr>
          <w:ilvl w:val="0"/>
          <w:numId w:val="2"/>
        </w:numPr>
        <w:spacing w:after="80" w:line="300"/>
      </w:pPr>
      <w:r>
        <w:rPr>
          <w:rFonts w:ascii="Calibri" w:cs="Calibri" w:eastAsia="Calibri" w:hAnsi="Calibri"/>
          <w:b/>
          <w:bCs/>
          <w:i w:val="false"/>
          <w:iCs w:val="false"/>
          <w:color w:val="1F2A37"/>
          <w:sz w:val="22"/>
          <w:szCs w:val="22"/>
        </w:rPr>
        <w:t xml:space="preserve">Anticiper la facture électronique : </w:t>
      </w:r>
      <w:r>
        <w:rPr>
          <w:rFonts w:ascii="Calibri" w:cs="Calibri" w:eastAsia="Calibri" w:hAnsi="Calibri"/>
          <w:b w:val="false"/>
          <w:bCs w:val="false"/>
          <w:i w:val="false"/>
          <w:iCs w:val="false"/>
          <w:color w:val="1F2A37"/>
          <w:sz w:val="22"/>
          <w:szCs w:val="22"/>
        </w:rPr>
        <w:t xml:space="preserve">depuis le 1er janvier 2026, les professions libérales doivent émettre des factures électroniques pour toute prestation dépassant 500 DT. Se rapprocher d’un prestataire de services de facturation électronique certifié par la DGI.</w:t>
      </w:r>
    </w:p>
    <w:p>
      <w:pPr>
        <w:pStyle w:val="Heading2"/>
        <w:spacing w:after="160" w:before="320"/>
      </w:pPr>
      <w:r>
        <w:rPr>
          <w:rFonts w:ascii="Calibri" w:cs="Calibri" w:eastAsia="Calibri" w:hAnsi="Calibri"/>
          <w:b/>
          <w:bCs/>
          <w:color w:val="1F3A68"/>
          <w:sz w:val="28"/>
          <w:szCs w:val="28"/>
        </w:rPr>
        <w:t xml:space="preserve">7.4. Checklist de conformité fiscale et sociale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rPr>
          <w:tblHeader/>
        </w:trPr>
        <w:tc>
          <w:tcPr>
            <w:tcW w:type="dxa" w:w="60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w:t>
            </w:r>
          </w:p>
        </w:tc>
        <w:tc>
          <w:tcPr>
            <w:tcW w:type="dxa" w:w="8760"/>
            <w:tcBorders>
              <w:top w:val="single" w:color="C9C6BD" w:sz="4"/>
              <w:left w:val="single" w:color="C9C6BD" w:sz="4"/>
              <w:bottom w:val="single" w:color="C9C6BD" w:sz="4"/>
              <w:right w:val="single" w:color="C9C6BD" w:sz="4"/>
            </w:tcBorders>
            <w:shd w:fill="1F3A68"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Point de contrôle</w:t>
            </w:r>
          </w:p>
        </w:tc>
      </w:tr>
      <w:tr>
        <w:tc>
          <w:tcPr>
            <w:tcW w:type="dxa" w:w="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Adhésion active à E-Jebeya pour toutes les déclarations fiscales men suelles et annuelles.</w:t>
            </w:r>
          </w:p>
        </w:tc>
      </w:tr>
      <w:tr>
        <w:tc>
          <w:tcPr>
            <w:tcW w:type="dxa" w:w="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Compte TEJ activé pour l’entreprise et chaque établissement secondaire — obligation généralisée au 1er janvier 2026.</w:t>
            </w:r>
          </w:p>
        </w:tc>
      </w:tr>
      <w:tr>
        <w:tc>
          <w:tcPr>
            <w:tcW w:type="dxa" w:w="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Affiliation CNSS à jour pour tous les salariés, y compris les nouveaux embauchés (affiliation avant la prise de poste).</w:t>
            </w:r>
          </w:p>
        </w:tc>
      </w:tr>
      <w:tr>
        <w:tc>
          <w:tcPr>
            <w:tcW w:type="dxa" w:w="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Déclarations mensuelles déposées et paiements effectués dans les délais (PP au 15, PM télédéclarant au 20, PM non télédéclarant au 28).</w:t>
            </w:r>
          </w:p>
        </w:tc>
      </w:tr>
      <w:tr>
        <w:tc>
          <w:tcPr>
            <w:tcW w:type="dxa" w:w="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Certificats de retenue à la source émis sur TEJ dans le délai d’un mois après le paiement.</w:t>
            </w:r>
          </w:p>
        </w:tc>
      </w:tr>
      <w:tr>
        <w:tc>
          <w:tcPr>
            <w:tcW w:type="dxa" w:w="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CNSS trimestrielle déclarée et payée (15 du mois pour onshore / 25 pour offshore).</w:t>
            </w:r>
          </w:p>
        </w:tc>
      </w:tr>
      <w:tr>
        <w:tc>
          <w:tcPr>
            <w:tcW w:type="dxa" w:w="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Acomptes provisionnels IRPP (25 juin/sept./déc.) et IS (28 juin/sept./déc.) versés dans les délais.</w:t>
            </w:r>
          </w:p>
        </w:tc>
      </w:tr>
      <w:tr>
        <w:tc>
          <w:tcPr>
            <w:tcW w:type="dxa" w:w="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Déclaration d’employeur souscrite avant le 30 avril avec dépôt XML via TEJ.</w:t>
            </w:r>
          </w:p>
        </w:tc>
      </w:tr>
      <w:tr>
        <w:tc>
          <w:tcPr>
            <w:tcW w:type="dxa" w:w="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États financiers déposés au RNE avant le 31 juillet en format dématérialisé.</w:t>
            </w:r>
          </w:p>
        </w:tc>
      </w:tr>
      <w:tr>
        <w:tc>
          <w:tcPr>
            <w:tcW w:type="dxa" w:w="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Aucun paiement en espèces ≥ 5 000 DT (risque amende 20 % depuis LF 2026).</w:t>
            </w:r>
          </w:p>
        </w:tc>
      </w:tr>
      <w:tr>
        <w:tc>
          <w:tcPr>
            <w:tcW w:type="dxa" w:w="60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Situation fiscale à jour — vérifiée via SMS 85580 (SF + matricule fiscal).</w:t>
            </w:r>
          </w:p>
        </w:tc>
      </w:tr>
      <w:tr>
        <w:tc>
          <w:tcPr>
            <w:tcW w:type="dxa" w:w="60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center"/>
            </w:pPr>
            <w:r>
              <w:rPr>
                <w:rFonts w:ascii="Calibri" w:cs="Calibri" w:eastAsia="Calibri" w:hAnsi="Calibri"/>
                <w:b w:val="false"/>
                <w:bCs w:val="false"/>
                <w:color w:val="1F2A37"/>
                <w:sz w:val="20"/>
                <w:szCs w:val="20"/>
              </w:rPr>
              <w:t xml:space="preserve">□</w:t>
            </w:r>
          </w:p>
        </w:tc>
        <w:tc>
          <w:tcPr>
            <w:tcW w:type="dxa" w:w="8760"/>
            <w:tcBorders>
              <w:top w:val="single" w:color="C9C6BD" w:sz="4"/>
              <w:left w:val="single" w:color="C9C6BD" w:sz="4"/>
              <w:bottom w:val="single" w:color="C9C6BD" w:sz="4"/>
              <w:right w:val="single" w:color="C9C6BD" w:sz="4"/>
            </w:tcBorders>
            <w:shd w:fill="F4F2EC" w:val="clear"/>
            <w:tcMar>
              <w:top w:type="dxa" w:w="80"/>
              <w:left w:type="dxa" w:w="100"/>
              <w:bottom w:type="dxa" w:w="80"/>
              <w:right w:type="dxa" w:w="100"/>
            </w:tcMar>
            <w:vAlign w:val="center"/>
          </w:tcPr>
          <w:p>
            <w:pPr>
              <w:jc w:val="left"/>
            </w:pPr>
            <w:r>
              <w:rPr>
                <w:rFonts w:ascii="Calibri" w:cs="Calibri" w:eastAsia="Calibri" w:hAnsi="Calibri"/>
                <w:b w:val="false"/>
                <w:bCs w:val="false"/>
                <w:color w:val="1F2A37"/>
                <w:sz w:val="20"/>
                <w:szCs w:val="20"/>
              </w:rPr>
              <w:t xml:space="preserve">Justificatifs archivés : quittances, borderaux CNSS, certificats TEJ, déclarations mensuelles — conservation 10 ans.</w:t>
            </w:r>
          </w:p>
        </w:tc>
      </w:tr>
    </w:tbl>
    <w:p>
      <w:r>
        <w:br w:type="page"/>
      </w:r>
    </w:p>
    <w:p>
      <w:pPr>
        <w:pStyle w:val="Heading1"/>
        <w:spacing w:after="220" w:before="480"/>
      </w:pPr>
      <w:r>
        <w:rPr>
          <w:rFonts w:ascii="Calibri" w:cs="Calibri" w:eastAsia="Calibri" w:hAnsi="Calibri"/>
          <w:b/>
          <w:bCs/>
          <w:color w:val="13243F"/>
          <w:sz w:val="36"/>
          <w:szCs w:val="36"/>
        </w:rPr>
        <w:t xml:space="preserve">Conclusion</w:t>
      </w:r>
    </w:p>
    <w:p>
      <w:pPr>
        <w:spacing w:after="120" w:before="0" w:line="320"/>
        <w:jc w:val="both"/>
      </w:pPr>
      <w:r>
        <w:rPr>
          <w:rFonts w:ascii="Calibri" w:cs="Calibri" w:eastAsia="Calibri" w:hAnsi="Calibri"/>
          <w:b w:val="false"/>
          <w:bCs w:val="false"/>
          <w:i w:val="false"/>
          <w:iCs w:val="false"/>
          <w:color w:val="1F2A37"/>
          <w:sz w:val="22"/>
          <w:szCs w:val="22"/>
        </w:rPr>
        <w:t xml:space="preserve">La maîtrise des déclarations fiscales et sociales est un impératif stratégique pour toute entreprise tunisienne. Le respect rigoureux du calendrier fiscal — déclarations mensuelles, acomptes provisionnels, déclaration d’employeur, états financiers au RNE, cotisations CNSS trimestrielles — constitue le premier bouclier contre les redressements fiscaux et les pénalités pouvant atteindre 200 % des impôts non acquittés, voire la mise en cause pénale des dirigeants.</w:t>
      </w:r>
    </w:p>
    <w:p>
      <w:pPr>
        <w:spacing w:after="120" w:before="0" w:line="320"/>
        <w:jc w:val="both"/>
      </w:pPr>
      <w:r>
        <w:rPr>
          <w:rFonts w:ascii="Calibri" w:cs="Calibri" w:eastAsia="Calibri" w:hAnsi="Calibri"/>
          <w:b w:val="false"/>
          <w:bCs w:val="false"/>
          <w:i w:val="false"/>
          <w:iCs w:val="false"/>
          <w:color w:val="1F2A37"/>
          <w:sz w:val="22"/>
          <w:szCs w:val="22"/>
        </w:rPr>
        <w:t xml:space="preserve">La dématérialisation progressive — via E-Jebeya pour les déclarations d’impôt, TEJ pour les certificats de retenue à la source, Damancom pour les cotisations CNSS et le RNE pour les états financiers — sécurise et fluidifie l’ensemble du processus déclaratif. Ces plateformes offrent également aux contribuables un historique fiable, réduisant les risques de contentieux.</w:t>
      </w:r>
    </w:p>
    <w:p>
      <w:pPr>
        <w:spacing w:after="120" w:before="0" w:line="320"/>
        <w:jc w:val="both"/>
      </w:pPr>
      <w:r>
        <w:rPr>
          <w:rFonts w:ascii="Calibri" w:cs="Calibri" w:eastAsia="Calibri" w:hAnsi="Calibri"/>
          <w:b w:val="false"/>
          <w:bCs w:val="false"/>
          <w:i w:val="false"/>
          <w:iCs w:val="false"/>
          <w:color w:val="1F2A37"/>
          <w:sz w:val="22"/>
          <w:szCs w:val="22"/>
        </w:rPr>
        <w:t xml:space="preserve">L’année 2026 marque un tournant décisif. La généralisation de TEJ à tous les contribuables au 1er janvier 2026, l’extension de la facture électronique, la contribution non conjoncturelle de 4 % pour le secteur financier et les opérateurs télécoms, la CSS prolongée et l’instauration de l’impôt sur la fortune reconfigurent le paysage fiscal pour toutes les catégories de contribuables. La fenêtre d’amnistie fiscale (janvier—septembre 2026) représente une opportunité rare de régulariser les situations en retard sans pénalités.</w:t>
      </w:r>
    </w:p>
    <w:p>
      <w:pPr>
        <w:spacing w:after="120" w:before="0" w:line="320"/>
        <w:jc w:val="both"/>
      </w:pPr>
      <w:r>
        <w:rPr>
          <w:rFonts w:ascii="Calibri" w:cs="Calibri" w:eastAsia="Calibri" w:hAnsi="Calibri"/>
          <w:b w:val="false"/>
          <w:bCs w:val="false"/>
          <w:i w:val="false"/>
          <w:iCs w:val="false"/>
          <w:color w:val="1F2A37"/>
          <w:sz w:val="22"/>
          <w:szCs w:val="22"/>
        </w:rPr>
        <w:t xml:space="preserve">Ce livre blanc constitue une référence pratique et actualisée, mais chaque situation d’entreprise est unique. La consultation régulière d’un expert-comptable est recommandée pour adapter les pratiques aux spécificités de l’activité, optimiser la charge fiscale dans le cadre légal, et anticiper les évolutions normatives des prochaines lois de finances.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017" w:sz="12"/>
              <w:left w:val="single" w:color="C9C6BD" w:sz="4"/>
              <w:bottom w:val="single" w:color="C9C6BD" w:sz="4"/>
              <w:right w:val="single" w:color="C9C6BD" w:sz="4"/>
            </w:tcBorders>
            <w:shd w:fill="F4F2EC" w:val="clear"/>
            <w:tcMar>
              <w:top w:type="dxa" w:w="140"/>
              <w:left w:type="dxa" w:w="220"/>
              <w:bottom w:type="dxa" w:w="140"/>
              <w:right w:type="dxa" w:w="220"/>
            </w:tcMar>
          </w:tcPr>
          <w:p>
            <w:pPr>
              <w:spacing w:after="100"/>
            </w:pPr>
            <w:r>
              <w:rPr>
                <w:rFonts w:ascii="Calibri" w:cs="Calibri" w:eastAsia="Calibri" w:hAnsi="Calibri"/>
                <w:b/>
                <w:bCs/>
                <w:color w:val="D4A017"/>
                <w:sz w:val="22"/>
                <w:szCs w:val="22"/>
              </w:rPr>
              <w:t xml:space="preserve">Les cinq réflexes essentiels</w:t>
            </w:r>
          </w:p>
          <w:p>
            <w:pPr>
              <w:spacing w:after="60" w:line="300"/>
            </w:pPr>
            <w:r>
              <w:rPr>
                <w:rFonts w:ascii="Calibri" w:cs="Calibri" w:eastAsia="Calibri" w:hAnsi="Calibri"/>
                <w:color w:val="1F2A37"/>
                <w:sz w:val="21"/>
                <w:szCs w:val="21"/>
              </w:rPr>
              <w:t xml:space="preserve">1. Tenir un calendrier fiscal et social à jour et désigner un responsable de suivi des échéances.</w:t>
            </w:r>
          </w:p>
          <w:p>
            <w:pPr>
              <w:spacing w:after="60" w:line="300"/>
            </w:pPr>
            <w:r>
              <w:rPr>
                <w:rFonts w:ascii="Calibri" w:cs="Calibri" w:eastAsia="Calibri" w:hAnsi="Calibri"/>
                <w:color w:val="1F2A37"/>
                <w:sz w:val="21"/>
                <w:szCs w:val="21"/>
              </w:rPr>
              <w:t xml:space="preserve">2. Adhérer à E-Jebeya, TEJ et Damancom pour toutes vos déclarations dématérialisées.</w:t>
            </w:r>
          </w:p>
          <w:p>
            <w:pPr>
              <w:spacing w:after="60" w:line="300"/>
            </w:pPr>
            <w:r>
              <w:rPr>
                <w:rFonts w:ascii="Calibri" w:cs="Calibri" w:eastAsia="Calibri" w:hAnsi="Calibri"/>
                <w:color w:val="1F2A37"/>
                <w:sz w:val="21"/>
                <w:szCs w:val="21"/>
              </w:rPr>
              <w:t xml:space="preserve">3. Vérifier systématiquement la situation fiscale de vos fournisseurs via le SMS 85580 ou la plateforme TEJ.</w:t>
            </w:r>
          </w:p>
          <w:p>
            <w:pPr>
              <w:spacing w:after="60" w:line="300"/>
            </w:pPr>
            <w:r>
              <w:rPr>
                <w:rFonts w:ascii="Calibri" w:cs="Calibri" w:eastAsia="Calibri" w:hAnsi="Calibri"/>
                <w:color w:val="1F2A37"/>
                <w:sz w:val="21"/>
                <w:szCs w:val="21"/>
              </w:rPr>
              <w:t xml:space="preserve">4. Anticiper les acomptes provisionnels dès les premiers mois de l’exercice pour éviter les surprises de trésorerie.</w:t>
            </w:r>
          </w:p>
          <w:p>
            <w:pPr>
              <w:spacing w:after="60" w:line="300"/>
            </w:pPr>
            <w:r>
              <w:rPr>
                <w:rFonts w:ascii="Calibri" w:cs="Calibri" w:eastAsia="Calibri" w:hAnsi="Calibri"/>
                <w:color w:val="1F2A37"/>
                <w:sz w:val="21"/>
                <w:szCs w:val="21"/>
              </w:rPr>
              <w:t xml:space="preserve">5. Profiter de la fenêtre d’amnistie fiscale 2026 pour régulariser toute situation antérieure en souffrance.</w:t>
            </w:r>
          </w:p>
        </w:tc>
      </w:tr>
    </w:tbl>
    <w:p>
      <w:r>
        <w:br w:type="page"/>
      </w:r>
    </w:p>
    <w:p>
      <w:pPr>
        <w:pStyle w:val="Heading1"/>
        <w:spacing w:after="220" w:before="480"/>
      </w:pPr>
      <w:r>
        <w:rPr>
          <w:rFonts w:ascii="Calibri" w:cs="Calibri" w:eastAsia="Calibri" w:hAnsi="Calibri"/>
          <w:b/>
          <w:bCs/>
          <w:color w:val="13243F"/>
          <w:sz w:val="36"/>
          <w:szCs w:val="36"/>
        </w:rPr>
        <w:t xml:space="preserve">Sources et références</w:t>
      </w:r>
    </w:p>
    <w:p>
      <w:pPr>
        <w:pStyle w:val="Heading2"/>
        <w:spacing w:after="160" w:before="320"/>
      </w:pPr>
      <w:r>
        <w:rPr>
          <w:rFonts w:ascii="Calibri" w:cs="Calibri" w:eastAsia="Calibri" w:hAnsi="Calibri"/>
          <w:b/>
          <w:bCs/>
          <w:color w:val="1F3A68"/>
          <w:sz w:val="28"/>
          <w:szCs w:val="28"/>
        </w:rPr>
        <w:t xml:space="preserve">Textes légaux et réglementaires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Code de l’Impôt sur le Revenu des Personnes Physiques et de l’Impôt sur les Sociétés — articles 14, 52, 53, 55.</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Code des Droits et Procédures Fiscaux (CDPF) — articles 83, 83 ter, 84 quater, 86, 92, 105.</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Loi de finances pour l’année 2025 — modification du taux d’IS, taux de 3 % prestataires de livraison, extension TVA 6 % santé.</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Loi de finances pour l’année 2026 (n° 2025-17 du 12 décembre 2025) — contribution non conjoncturelle 4 %, CSS prolongée, impôt fortune, amnistie fiscale, forfait BIC, abattement retraites.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Loi de finances pour l’année 2022, article 41 — modification de l’article 55 CIRPP/IS, fondement légal de la plateforme TEJ.</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Décret 95-1166 du 3 juillet 1995 — classes de revenus des travailleurs non salariés (TNS) CNSS.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Loi 33/2020 — régime auto-entrepreneur (Mibader Al-Dhati).</w:t>
      </w:r>
    </w:p>
    <w:p>
      <w:pPr>
        <w:pStyle w:val="Heading2"/>
        <w:spacing w:after="160" w:before="320"/>
      </w:pPr>
      <w:r>
        <w:rPr>
          <w:rFonts w:ascii="Calibri" w:cs="Calibri" w:eastAsia="Calibri" w:hAnsi="Calibri"/>
          <w:b/>
          <w:bCs/>
          <w:color w:val="1F3A68"/>
          <w:sz w:val="28"/>
          <w:szCs w:val="28"/>
        </w:rPr>
        <w:t xml:space="preserve">Sites institutionnels</w:t>
      </w:r>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7bml3v-guoi0b1kwkdgmr">
        <w:r>
          <w:rPr>
            <w:rFonts w:ascii="Calibri" w:cs="Calibri" w:eastAsia="Calibri" w:hAnsi="Calibri"/>
            <w:color w:val="0563C1"/>
            <w:sz w:val="22"/>
            <w:szCs w:val="22"/>
            <w:u w:val="single"/>
          </w:rPr>
          <w:t xml:space="preserve">Ministère des Finances de la République tunisienne — finances.gov.tn</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po92vgs7dxnbkdlzg8ag8">
        <w:r>
          <w:rPr>
            <w:rFonts w:ascii="Calibri" w:cs="Calibri" w:eastAsia="Calibri" w:hAnsi="Calibri"/>
            <w:color w:val="0563C1"/>
            <w:sz w:val="22"/>
            <w:szCs w:val="22"/>
            <w:u w:val="single"/>
          </w:rPr>
          <w:t xml:space="preserve">Direction Générale des Impôts (DGI) — impots.finances.gov.tn</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gs2eijkksr7_g5bfc2yjs">
        <w:r>
          <w:rPr>
            <w:rFonts w:ascii="Calibri" w:cs="Calibri" w:eastAsia="Calibri" w:hAnsi="Calibri"/>
            <w:color w:val="0563C1"/>
            <w:sz w:val="22"/>
            <w:szCs w:val="22"/>
            <w:u w:val="single"/>
          </w:rPr>
          <w:t xml:space="preserve">Caisse Nationale de Sécurité Sociale (CNSS) — cnss.tn</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fzzgrryxzyyev7_ywph3a">
        <w:r>
          <w:rPr>
            <w:rFonts w:ascii="Calibri" w:cs="Calibri" w:eastAsia="Calibri" w:hAnsi="Calibri"/>
            <w:color w:val="0563C1"/>
            <w:sz w:val="22"/>
            <w:szCs w:val="22"/>
            <w:u w:val="single"/>
          </w:rPr>
          <w:t xml:space="preserve">Plateforme TEJ — tej.finances.gov.tn</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awosubc3jsq2zwtiiczoy">
        <w:r>
          <w:rPr>
            <w:rFonts w:ascii="Calibri" w:cs="Calibri" w:eastAsia="Calibri" w:hAnsi="Calibri"/>
            <w:color w:val="0563C1"/>
            <w:sz w:val="22"/>
            <w:szCs w:val="22"/>
            <w:u w:val="single"/>
          </w:rPr>
          <w:t xml:space="preserve">Registre National des Entreprises (RNE) — registre-entreprises.tn</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ljb54lw7famfvqazk7g7c">
        <w:r>
          <w:rPr>
            <w:rFonts w:ascii="Calibri" w:cs="Calibri" w:eastAsia="Calibri" w:hAnsi="Calibri"/>
            <w:color w:val="0563C1"/>
            <w:sz w:val="22"/>
            <w:szCs w:val="22"/>
            <w:u w:val="single"/>
          </w:rPr>
          <w:t xml:space="preserve">Système fiscal tunisien — Aperçu officiel Ministère des Finances</w:t>
        </w:r>
      </w:hyperlink>
    </w:p>
    <w:p>
      <w:pPr>
        <w:pStyle w:val="Heading2"/>
        <w:spacing w:after="160" w:before="320"/>
      </w:pPr>
      <w:r>
        <w:rPr>
          <w:rFonts w:ascii="Calibri" w:cs="Calibri" w:eastAsia="Calibri" w:hAnsi="Calibri"/>
          <w:b/>
          <w:bCs/>
          <w:color w:val="1F3A68"/>
          <w:sz w:val="28"/>
          <w:szCs w:val="28"/>
        </w:rPr>
        <w:t xml:space="preserve">Textes juridiques en ligne</w:t>
      </w:r>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kdjl7f3whed28td4jgae5">
        <w:r>
          <w:rPr>
            <w:rFonts w:ascii="Calibri" w:cs="Calibri" w:eastAsia="Calibri" w:hAnsi="Calibri"/>
            <w:color w:val="0563C1"/>
            <w:sz w:val="22"/>
            <w:szCs w:val="22"/>
            <w:u w:val="single"/>
          </w:rPr>
          <w:t xml:space="preserve">Code IRPP/IS sur Jurisite Tunisie — article 52</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3ex-661-pfdmbterpq6v1">
        <w:r>
          <w:rPr>
            <w:rFonts w:ascii="Calibri" w:cs="Calibri" w:eastAsia="Calibri" w:hAnsi="Calibri"/>
            <w:color w:val="0563C1"/>
            <w:sz w:val="22"/>
            <w:szCs w:val="22"/>
            <w:u w:val="single"/>
          </w:rPr>
          <w:t xml:space="preserve">Loi de finances 2025 — Jurisite Tunisie</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tz8q1-ya-oa2u-9a1e5gp">
        <w:r>
          <w:rPr>
            <w:rFonts w:ascii="Calibri" w:cs="Calibri" w:eastAsia="Calibri" w:hAnsi="Calibri"/>
            <w:color w:val="0563C1"/>
            <w:sz w:val="22"/>
            <w:szCs w:val="22"/>
            <w:u w:val="single"/>
          </w:rPr>
          <w:t xml:space="preserve">Guide télédéclaration DGI (PDF)</w:t>
        </w:r>
      </w:hyperlink>
    </w:p>
    <w:p>
      <w:pPr>
        <w:pStyle w:val="Heading2"/>
        <w:spacing w:after="160" w:before="320"/>
      </w:pPr>
      <w:r>
        <w:rPr>
          <w:rFonts w:ascii="Calibri" w:cs="Calibri" w:eastAsia="Calibri" w:hAnsi="Calibri"/>
          <w:b/>
          <w:bCs/>
          <w:color w:val="1F3A68"/>
          <w:sz w:val="28"/>
          <w:szCs w:val="28"/>
        </w:rPr>
        <w:t xml:space="preserve">Analyses techniques et publications professionnelles</w:t>
      </w:r>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5z0ja1jgor3tlbgj4_4hj">
        <w:r>
          <w:rPr>
            <w:rFonts w:ascii="Calibri" w:cs="Calibri" w:eastAsia="Calibri" w:hAnsi="Calibri"/>
            <w:color w:val="0563C1"/>
            <w:sz w:val="22"/>
            <w:szCs w:val="22"/>
            <w:u w:val="single"/>
          </w:rPr>
          <w:t xml:space="preserve">Commentaire LF 2026 — InFirst (PDF)</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x6m5kibzmgzuirpwkdfck">
        <w:r>
          <w:rPr>
            <w:rFonts w:ascii="Calibri" w:cs="Calibri" w:eastAsia="Calibri" w:hAnsi="Calibri"/>
            <w:color w:val="0563C1"/>
            <w:sz w:val="22"/>
            <w:szCs w:val="22"/>
            <w:u w:val="single"/>
          </w:rPr>
          <w:t xml:space="preserve">Code IRPP/IS 2020 (InFirst PDF)</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nglqabq5_lsya5y7w6vfg">
        <w:r>
          <w:rPr>
            <w:rFonts w:ascii="Calibri" w:cs="Calibri" w:eastAsia="Calibri" w:hAnsi="Calibri"/>
            <w:color w:val="0563C1"/>
            <w:sz w:val="22"/>
            <w:szCs w:val="22"/>
            <w:u w:val="single"/>
          </w:rPr>
          <w:t xml:space="preserve">Profiscal — Régime fiscal des professions libérales</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t8-4zs8yv5mrzhrgbhgx6">
        <w:r>
          <w:rPr>
            <w:rFonts w:ascii="Calibri" w:cs="Calibri" w:eastAsia="Calibri" w:hAnsi="Calibri"/>
            <w:color w:val="0563C1"/>
            <w:sz w:val="22"/>
            <w:szCs w:val="22"/>
            <w:u w:val="single"/>
          </w:rPr>
          <w:t xml:space="preserve">CKT Audit — Fiscalité en Tunisie</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lt_efz5ae_ixg-ynqsoyi">
        <w:r>
          <w:rPr>
            <w:rFonts w:ascii="Calibri" w:cs="Calibri" w:eastAsia="Calibri" w:hAnsi="Calibri"/>
            <w:color w:val="0563C1"/>
            <w:sz w:val="22"/>
            <w:szCs w:val="22"/>
            <w:u w:val="single"/>
          </w:rPr>
          <w:t xml:space="preserve">Paie Tunisie — Lois de finances</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7yd82af9eqx0aiz9xfz1u">
        <w:r>
          <w:rPr>
            <w:rFonts w:ascii="Calibri" w:cs="Calibri" w:eastAsia="Calibri" w:hAnsi="Calibri"/>
            <w:color w:val="0563C1"/>
            <w:sz w:val="22"/>
            <w:szCs w:val="22"/>
            <w:u w:val="single"/>
          </w:rPr>
          <w:t xml:space="preserve">Swiver — Déclarations fiscales en Tunisie 2026</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fq884gibjr2pey7ewme5m">
        <w:r>
          <w:rPr>
            <w:rFonts w:ascii="Calibri" w:cs="Calibri" w:eastAsia="Calibri" w:hAnsi="Calibri"/>
            <w:color w:val="0563C1"/>
            <w:sz w:val="22"/>
            <w:szCs w:val="22"/>
            <w:u w:val="single"/>
          </w:rPr>
          <w:t xml:space="preserve">Facture-Tunisie — Dispositions LF 2025</w:t>
        </w:r>
      </w:hyperlink>
    </w:p>
    <w:p>
      <w:pPr>
        <w:spacing w:after="120" w:before="0" w:line="320"/>
        <w:jc w:val="both"/>
      </w:pPr>
      <w:r>
        <w:rPr>
          <w:rFonts w:ascii="Calibri" w:cs="Calibri" w:eastAsia="Calibri" w:hAnsi="Calibri"/>
          <w:b w:val="false"/>
          <w:bCs w:val="false"/>
          <w:i w:val="false"/>
          <w:iCs w:val="false"/>
          <w:color w:val="1F2A37"/>
          <w:sz w:val="22"/>
          <w:szCs w:val="22"/>
        </w:rPr>
        <w:t xml:space="preserve">• </w:t>
      </w:r>
      <w:hyperlink w:history="1" r:id="rId4_h3nrit_wqowvmgqio-e">
        <w:r>
          <w:rPr>
            <w:rFonts w:ascii="Calibri" w:cs="Calibri" w:eastAsia="Calibri" w:hAnsi="Calibri"/>
            <w:color w:val="0563C1"/>
            <w:sz w:val="22"/>
            <w:szCs w:val="22"/>
            <w:u w:val="single"/>
          </w:rPr>
          <w:t xml:space="preserve">Synergie A&amp;C — Plateforme TEJ et obligations électroniques</w:t>
        </w:r>
      </w:hyperlink>
    </w:p>
    <w:p>
      <w:pPr>
        <w:pStyle w:val="Heading2"/>
        <w:spacing w:after="160" w:before="320"/>
      </w:pPr>
      <w:r>
        <w:rPr>
          <w:rFonts w:ascii="Calibri" w:cs="Calibri" w:eastAsia="Calibri" w:hAnsi="Calibri"/>
          <w:b/>
          <w:bCs/>
          <w:color w:val="1F3A68"/>
          <w:sz w:val="28"/>
          <w:szCs w:val="28"/>
        </w:rPr>
        <w:t xml:space="preserve">Contacts utiles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D.G.E.L.F (Direction Générale des Études et de la Législation Fiscale) — 71, Avenue Taieb Mhiri, Belvédère 1002 Tunis.</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Centre d’orientation fiscale à distance : 81 100 400.</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Support plateforme TEJ : Support.TEJ@finances.gov.tn</w:t>
      </w:r>
    </w:p>
    <w:p>
      <w:pPr>
        <w:pStyle w:val="ListParagraph"/>
        <w:numPr>
          <w:ilvl w:val="0"/>
          <w:numId w:val="2"/>
        </w:numPr>
        <w:spacing w:after="80" w:line="300"/>
      </w:pPr>
      <w:r>
        <w:rPr>
          <w:rFonts w:ascii="Calibri" w:cs="Calibri" w:eastAsia="Calibri" w:hAnsi="Calibri"/>
          <w:b w:val="false"/>
          <w:bCs w:val="false"/>
          <w:color w:val="1F2A37"/>
          <w:sz w:val="22"/>
          <w:szCs w:val="22"/>
        </w:rPr>
        <w:t xml:space="preserve">CNSS — Service des affiliés : (+216) 71 799 000 — www.cnss.tn</w:t>
      </w:r>
    </w:p>
    <w:p>
      <w:r>
        <w:br w:type="page"/>
      </w:r>
    </w:p>
    <w:p>
      <w:pPr>
        <w:spacing w:after="3600"/>
      </w:pPr>
      <w:r>
        <w:t xml:space="preserve"/>
      </w:r>
    </w:p>
    <w:p>
      <w:pPr>
        <w:spacing w:after="120"/>
        <w:jc w:val="center"/>
      </w:pPr>
      <w:r>
        <w:rPr>
          <w:rFonts w:ascii="Calibri" w:cs="Calibri" w:eastAsia="Calibri" w:hAnsi="Calibri"/>
          <w:i/>
          <w:iCs/>
          <w:color w:val="6B7280"/>
          <w:sz w:val="22"/>
          <w:szCs w:val="22"/>
        </w:rPr>
        <w:t xml:space="preserve">— Fin du Livre Blanc —</w:t>
      </w:r>
    </w:p>
    <w:p>
      <w:pPr>
        <w:spacing w:after="120"/>
        <w:jc w:val="center"/>
      </w:pPr>
      <w:r>
        <w:rPr>
          <w:rFonts w:ascii="Calibri" w:cs="Calibri" w:eastAsia="Calibri" w:hAnsi="Calibri"/>
          <w:color w:val="6B7280"/>
          <w:sz w:val="20"/>
          <w:szCs w:val="20"/>
        </w:rPr>
        <w:t xml:space="preserve">Anis BHAR, Expert-Comptable — Sousse, Tunisie</w:t>
      </w:r>
    </w:p>
    <w:p>
      <w:pPr>
        <w:spacing w:after="120"/>
        <w:jc w:val="center"/>
      </w:pPr>
      <w:r>
        <w:rPr>
          <w:rFonts w:ascii="Calibri" w:cs="Calibri" w:eastAsia="Calibri" w:hAnsi="Calibri"/>
          <w:color w:val="6B7280"/>
          <w:sz w:val="20"/>
          <w:szCs w:val="20"/>
        </w:rPr>
        <w:t xml:space="preserve">Édition 2026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6BD" w:sz="4"/>
      </w:pBdr>
      <w:jc w:val="center"/>
    </w:pPr>
    <w:r>
      <w:rPr>
        <w:rFonts w:ascii="Calibri" w:cs="Calibri" w:eastAsia="Calibri" w:hAnsi="Calibri"/>
        <w:color w:val="6B7280"/>
        <w:sz w:val="16"/>
        <w:szCs w:val="16"/>
      </w:rPr>
      <w:t xml:space="preserve">Anis BHAR · Expert-Comptable · Sousse        </w:t>
    </w:r>
    <w:r>
      <w:rPr>
        <w:rFonts w:ascii="Calibri" w:cs="Calibri" w:eastAsia="Calibri" w:hAnsi="Calibri"/>
        <w:color w:val="6B7280"/>
        <w:sz w:val="16"/>
        <w:szCs w:val="16"/>
      </w:rPr>
      <w:t xml:space="preserve">Page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 </w:t>
    </w:r>
    <w:r>
      <w:rPr>
        <w:rFonts w:ascii="Calibri" w:cs="Calibri" w:eastAsia="Calibri" w:hAnsi="Calibri"/>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6B7280"/>
        <w:sz w:val="16"/>
        <w:szCs w:val="16"/>
      </w:rPr>
      <w:t xml:space="preserve">Les Déclarations Fiscales et Sociales en Tunisie — Édition 2026</w:t>
    </w:r>
  </w:p>
  <w:p>
    <w:pPr>
      <w:pBdr>
        <w:bottom w:val="single" w:color="D4A017" w:sz="6"/>
      </w:pBdr>
      <w:spacing w:after="0"/>
      <w:jc w:val="right"/>
    </w:pPr>
    <w:r>
      <w:rPr>
        <w:rFonts w:ascii="Calibri" w:cs="Calibri" w:eastAsia="Calibri" w:hAnsi="Calibri"/>
        <w:sz w:val="4"/>
        <w:szCs w:val="4"/>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20" w:before="480"/>
      <w:outlineLvl w:val="0"/>
    </w:pPr>
    <w:rPr>
      <w:rFonts w:ascii="Calibri" w:cs="Calibri" w:eastAsia="Calibri" w:hAnsi="Calibri"/>
      <w:b/>
      <w:bCs/>
      <w:color w:val="13243F"/>
      <w:sz w:val="40"/>
      <w:szCs w:val="40"/>
    </w:rPr>
  </w:style>
  <w:style w:type="paragraph" w:styleId="Heading2">
    <w:name w:val="Heading 2"/>
    <w:basedOn w:val="Normal"/>
    <w:next w:val="Normal"/>
    <w:qFormat/>
    <w:pPr>
      <w:spacing w:after="160" w:before="320"/>
      <w:outlineLvl w:val="1"/>
    </w:pPr>
    <w:rPr>
      <w:rFonts w:ascii="Calibri" w:cs="Calibri" w:eastAsia="Calibri" w:hAnsi="Calibri"/>
      <w:b/>
      <w:bCs/>
      <w:color w:val="1F3A68"/>
      <w:sz w:val="30"/>
      <w:szCs w:val="30"/>
    </w:rPr>
  </w:style>
  <w:style w:type="paragraph" w:styleId="Heading3">
    <w:name w:val="Heading 3"/>
    <w:basedOn w:val="Normal"/>
    <w:next w:val="Normal"/>
    <w:qFormat/>
    <w:pPr>
      <w:spacing w:after="120" w:before="240"/>
      <w:outlineLvl w:val="2"/>
    </w:pPr>
    <w:rPr>
      <w:rFonts w:ascii="Calibri" w:cs="Calibri" w:eastAsia="Calibri" w:hAnsi="Calibri"/>
      <w:b/>
      <w:bCs/>
      <w:color w:val="1F3A6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noglruwxp7mmmluidfqhi" Type="http://schemas.openxmlformats.org/officeDocument/2006/relationships/hyperlink" Target="https://www.impots.finances.gov.tn/" TargetMode="External"/><Relationship Id="rIdrx5aomsvo_dxccbhmfohe" Type="http://schemas.openxmlformats.org/officeDocument/2006/relationships/hyperlink" Target="https://www.cnss.tn/" TargetMode="External"/><Relationship Id="rId7bml3v-guoi0b1kwkdgmr" Type="http://schemas.openxmlformats.org/officeDocument/2006/relationships/hyperlink" Target="https://www.finances.gov.tn/" TargetMode="External"/><Relationship Id="rIdpo92vgs7dxnbkdlzg8ag8" Type="http://schemas.openxmlformats.org/officeDocument/2006/relationships/hyperlink" Target="https://www.impots.finances.gov.tn/" TargetMode="External"/><Relationship Id="rIdgs2eijkksr7_g5bfc2yjs" Type="http://schemas.openxmlformats.org/officeDocument/2006/relationships/hyperlink" Target="https://www.cnss.tn/" TargetMode="External"/><Relationship Id="rIdfzzgrryxzyyev7_ywph3a" Type="http://schemas.openxmlformats.org/officeDocument/2006/relationships/hyperlink" Target="https://tej.finances.gov.tn/" TargetMode="External"/><Relationship Id="rIdawosubc3jsq2zwtiiczoy" Type="http://schemas.openxmlformats.org/officeDocument/2006/relationships/hyperlink" Target="https://www.registre-entreprises.tn/" TargetMode="External"/><Relationship Id="rIdljb54lw7famfvqazk7g7c" Type="http://schemas.openxmlformats.org/officeDocument/2006/relationships/hyperlink" Target="https://www.finances.gov.tn/fr/apercu-general-sur-la-fiscalite" TargetMode="External"/><Relationship Id="rIdkdjl7f3whed28td4jgae5" Type="http://schemas.openxmlformats.org/officeDocument/2006/relationships/hyperlink" Target="https://www.jurisitetunisie.com/tunisie/codes/cirppis/cirppis1190.htm" TargetMode="External"/><Relationship Id="rId3ex-661-pfdmbterpq6v1" Type="http://schemas.openxmlformats.org/officeDocument/2006/relationships/hyperlink" Target="https://www.jurisitetunisie.com/tunisie/codes/lf2025/loifinances2025-37_fr.html" TargetMode="External"/><Relationship Id="rIdtz8q1-ya-oa2u-9a1e5gp" Type="http://schemas.openxmlformats.org/officeDocument/2006/relationships/hyperlink" Target="http://www.impots.finances.gov.tn/images/a_la_une_/guide_tele-declaration_fiscale.pdf" TargetMode="External"/><Relationship Id="rId5z0ja1jgor3tlbgj4_4hj" Type="http://schemas.openxmlformats.org/officeDocument/2006/relationships/hyperlink" Target="https://www.infirst.tn/wp-content/uploads/2025/12/Commentaire-LF-2026-InFirst-V2.pdf" TargetMode="External"/><Relationship Id="rIdx6m5kibzmgzuirpwkdfck" Type="http://schemas.openxmlformats.org/officeDocument/2006/relationships/hyperlink" Target="http://www.infirst.tn/wp-content/uploads/2020/04/Code-de-l%E2%80%99imp%C3%B4t-sur-le-Revenu-des-personnes-physiques-et-de-limpot-sur-les-soci%C3%A9t%C3%A9s-2020.pdf" TargetMode="External"/><Relationship Id="rIdnglqabq5_lsya5y7w6vfg" Type="http://schemas.openxmlformats.org/officeDocument/2006/relationships/hyperlink" Target="https://www.profiscal.com/papier/maba.htm" TargetMode="External"/><Relationship Id="rIdt8-4zs8yv5mrzhrgbhgx6" Type="http://schemas.openxmlformats.org/officeDocument/2006/relationships/hyperlink" Target="https://cktaudit.com/" TargetMode="External"/><Relationship Id="rIdlt_efz5ae_ixg-ynqsoyi" Type="http://schemas.openxmlformats.org/officeDocument/2006/relationships/hyperlink" Target="https://paie-tunisie.com/322/fr/lois-de-finances" TargetMode="External"/><Relationship Id="rId7yd82af9eqx0aiz9xfz1u" Type="http://schemas.openxmlformats.org/officeDocument/2006/relationships/hyperlink" Target="https://swiver.io/blog/retenue-a-la-source-2026" TargetMode="External"/><Relationship Id="rIdfq884gibjr2pey7ewme5m" Type="http://schemas.openxmlformats.org/officeDocument/2006/relationships/hyperlink" Target="https://facture-tunisie.com/411/fr/38/reglementations/principales-dispositions-de-la-loi-de-finances-2025" TargetMode="External"/><Relationship Id="rId4_h3nrit_wqowvmgqio-e" Type="http://schemas.openxmlformats.org/officeDocument/2006/relationships/hyperlink" Target="https://synergie-ac.com/plateforme-tej-ministere-des-finances/" TargetMode="External"/><Relationship Id="rId2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 Blanc — Les Déclarations Fiscales et Sociales en Tunisie</dc:title>
  <dc:creator>Anis BHAR</dc:creator>
  <dc:description>Guide pratique des déclarations fiscales et sociales en Tunisie : IRPP, IS, CNSS, calendrier 2026, LF 2025 &amp; LF 2026.</dc:description>
  <cp:lastModifiedBy>Un-named</cp:lastModifiedBy>
  <cp:revision>1</cp:revision>
  <dcterms:created xsi:type="dcterms:W3CDTF">2026-05-19T08:40:22.246Z</dcterms:created>
  <dcterms:modified xsi:type="dcterms:W3CDTF">2026-05-19T08:40:22.246Z</dcterms:modified>
</cp:coreProperties>
</file>

<file path=docProps/custom.xml><?xml version="1.0" encoding="utf-8"?>
<Properties xmlns="http://schemas.openxmlformats.org/officeDocument/2006/custom-properties" xmlns:vt="http://schemas.openxmlformats.org/officeDocument/2006/docPropsVTypes"/>
</file>