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0" w:before="3200"/>
        <w:jc w:val="center"/>
      </w:pPr>
      <w:r>
        <w:rPr>
          <w:rFonts w:ascii="Calibri" w:cs="Calibri" w:eastAsia="Calibri" w:hAnsi="Calibri"/>
          <w:b/>
          <w:bCs/>
          <w:color w:val="C0392B"/>
          <w:spacing w:val="80"/>
          <w:sz w:val="36"/>
          <w:szCs w:val="36"/>
        </w:rPr>
        <w:t xml:space="preserve">LIVRE BLANC</w:t>
      </w:r>
    </w:p>
    <w:p>
      <w:pPr>
        <w:spacing w:after="200" w:before="0"/>
        <w:jc w:val="center"/>
      </w:pPr>
      <w:r>
        <w:rPr>
          <w:rFonts w:ascii="Calibri" w:cs="Calibri" w:eastAsia="Calibri" w:hAnsi="Calibri"/>
          <w:b/>
          <w:bCs/>
          <w:color w:val="1F3A68"/>
          <w:sz w:val="56"/>
          <w:szCs w:val="56"/>
        </w:rPr>
        <w:t xml:space="preserve">L'Environnement de l'Entreprise</w:t>
      </w:r>
    </w:p>
    <w:p>
      <w:pPr>
        <w:spacing w:after="600" w:before="0"/>
        <w:jc w:val="center"/>
      </w:pPr>
      <w:r>
        <w:rPr>
          <w:rFonts w:ascii="Calibri" w:cs="Calibri" w:eastAsia="Calibri" w:hAnsi="Calibri"/>
          <w:b/>
          <w:bCs/>
          <w:color w:val="1F3A68"/>
          <w:sz w:val="56"/>
          <w:szCs w:val="56"/>
        </w:rPr>
        <w:t xml:space="preserve">en Tunisie</w:t>
      </w:r>
    </w:p>
    <w:p>
      <w:pPr>
        <w:spacing w:after="200" w:before="0"/>
        <w:jc w:val="center"/>
      </w:pPr>
      <w:r>
        <w:rPr>
          <w:rFonts w:ascii="Calibri" w:cs="Calibri" w:eastAsia="Calibri" w:hAnsi="Calibri"/>
          <w:i/>
          <w:iCs/>
          <w:color w:val="4A4A4A"/>
          <w:sz w:val="28"/>
          <w:szCs w:val="28"/>
        </w:rPr>
        <w:t xml:space="preserve">Cadre institutionnel, juridique et fiscal</w:t>
      </w:r>
    </w:p>
    <w:p>
      <w:pPr>
        <w:spacing w:after="1200" w:before="0"/>
        <w:jc w:val="center"/>
      </w:pPr>
      <w:r>
        <w:rPr>
          <w:rFonts w:ascii="Calibri" w:cs="Calibri" w:eastAsia="Calibri" w:hAnsi="Calibri"/>
          <w:b/>
          <w:bCs/>
          <w:color w:val="C0392B"/>
          <w:sz w:val="24"/>
          <w:szCs w:val="24"/>
        </w:rPr>
        <w:t xml:space="preserve">Mis à jour avec la Loi de Finances 2026</w:t>
      </w:r>
    </w:p>
    <w:p>
      <w:pPr>
        <w:spacing w:after="80" w:before="2400"/>
        <w:jc w:val="center"/>
      </w:pPr>
      <w:r>
        <w:rPr>
          <w:rFonts w:ascii="Calibri" w:cs="Calibri" w:eastAsia="Calibri" w:hAnsi="Calibri"/>
          <w:color w:val="4A4A4A"/>
          <w:sz w:val="22"/>
          <w:szCs w:val="22"/>
        </w:rPr>
        <w:t xml:space="preserve">Édition 2026</w:t>
      </w:r>
    </w:p>
    <w:p>
      <w:pPr>
        <w:spacing w:after="0" w:before="0"/>
        <w:jc w:val="center"/>
      </w:pPr>
      <w:r>
        <w:rPr>
          <w:rFonts w:ascii="Calibri" w:cs="Calibri" w:eastAsia="Calibri" w:hAnsi="Calibri"/>
          <w:i/>
          <w:iCs/>
          <w:color w:val="4A4A4A"/>
          <w:sz w:val="20"/>
          <w:szCs w:val="20"/>
        </w:rPr>
        <w:t xml:space="preserve">République Tunisienne</w:t>
      </w:r>
    </w:p>
    <w:p>
      <w:r>
        <w:br w:type="page"/>
      </w:r>
    </w:p>
    <w:p>
      <w:pPr>
        <w:pStyle w:val="Heading1"/>
        <w:spacing w:after="200" w:before="360"/>
      </w:pPr>
      <w:r>
        <w:rPr>
          <w:rFonts w:ascii="Calibri" w:cs="Calibri" w:eastAsia="Calibri" w:hAnsi="Calibri"/>
          <w:b/>
          <w:bCs/>
          <w:color w:val="1F3A68"/>
          <w:sz w:val="36"/>
          <w:szCs w:val="36"/>
        </w:rPr>
        <w:t xml:space="preserve">Sommaire</w:t>
      </w:r>
    </w:p>
    <w:p>
      <w:pPr>
        <w:spacing w:after="200"/>
      </w:pPr>
      <w:r>
        <w:rPr>
          <w:rFonts w:ascii="Calibri" w:cs="Calibri" w:eastAsia="Calibri" w:hAnsi="Calibri"/>
          <w:i/>
          <w:iCs/>
          <w:color w:val="4A4A4A"/>
          <w:sz w:val="18"/>
          <w:szCs w:val="18"/>
        </w:rPr>
        <w:t xml:space="preserve">Mettez à jour le sommaire dans Word (clic droit &gt; Mettre à jour les champs).</w:t>
      </w:r>
    </w:p>
    <w:sdt>
      <w:sdtPr>
        <w:alias w:val="Sommaire"/>
      </w:sdtPr>
      <w:sdtContent>
        <w:p>
          <w:r>
            <w:fldChar w:fldCharType="begin" w:dirty="true"/>
            <w:instrText xml:space="preserve">TOC \h \o "1-3"</w:instrText>
            <w:fldChar w:fldCharType="separate"/>
          </w:r>
        </w:p>
        <w:p>
          <w:r>
            <w:fldChar w:fldCharType="end"/>
          </w:r>
        </w:p>
      </w:sdtContent>
    </w:sdt>
    <w:p>
      <w:r>
        <w:br w:type="page"/>
      </w:r>
    </w:p>
    <w:p>
      <w:pPr>
        <w:pStyle w:val="Heading1"/>
        <w:spacing w:after="200" w:before="360"/>
      </w:pPr>
      <w:r>
        <w:rPr>
          <w:rFonts w:ascii="Calibri" w:cs="Calibri" w:eastAsia="Calibri" w:hAnsi="Calibri"/>
          <w:b/>
          <w:bCs/>
          <w:color w:val="1F3A68"/>
          <w:sz w:val="36"/>
          <w:szCs w:val="36"/>
        </w:rPr>
        <w:t xml:space="preserve">Résumé exécutif</w:t>
      </w:r>
    </w:p>
    <w:p>
      <w:pPr>
        <w:spacing w:after="120" w:line="300"/>
        <w:jc w:val="both"/>
      </w:pPr>
      <w:r>
        <w:rPr>
          <w:rFonts w:ascii="Calibri" w:cs="Calibri" w:eastAsia="Calibri" w:hAnsi="Calibri"/>
          <w:sz w:val="22"/>
          <w:szCs w:val="22"/>
        </w:rPr>
        <w:t xml:space="preserve">La Tunisie offre aux investisseurs et aux entrepreneurs un cadre institutionnel structuré et un dispositif fiscal en évolution constante. La Loi de Finances 2026 confirme une trajectoire de réforme amorcée depuis plusieurs exercices : retour d'un régime forfaitaire optionnel encadré, ajustement de la Contribution Sociale de Solidarité (CSS) et consolidation d'un barème d'impôt sur les sociétés différencié par secteur.</w:t>
      </w:r>
    </w:p>
    <w:p>
      <w:pPr>
        <w:spacing w:after="120" w:line="300"/>
        <w:jc w:val="both"/>
      </w:pPr>
      <w:r>
        <w:rPr>
          <w:rFonts w:ascii="Calibri" w:cs="Calibri" w:eastAsia="Calibri" w:hAnsi="Calibri"/>
          <w:sz w:val="22"/>
          <w:szCs w:val="22"/>
        </w:rPr>
        <w:t xml:space="preserve">Ce livre blanc présente, de manière structurée et opérationnelle, l'ensemble des paramètres qui conditionnent la création, l'exploitation et le contrôle d'une entreprise en Tunisie : organismes d'accompagnement, formalités d'immatriculation, formes juridiques disponibles, régimes fiscaux applicables aux personnes physiques et morales, procédures de contrôle fiscal et social.</w:t>
      </w:r>
    </w:p>
    <w:p>
      <w:pPr>
        <w:spacing w:after="120" w:line="300"/>
        <w:jc w:val="both"/>
      </w:pPr>
      <w:r>
        <w:rPr>
          <w:rFonts w:ascii="Calibri" w:cs="Calibri" w:eastAsia="Calibri" w:hAnsi="Calibri"/>
          <w:sz w:val="22"/>
          <w:szCs w:val="22"/>
        </w:rPr>
        <w:t xml:space="preserve">Il s'adresse aux promoteurs de projets, aux dirigeants de PME, aux professionnels du chiffre, aux consultants et aux formateurs qui recherchent un document de référence synthétique, étayé par les textes en vigueur et les analyses des principaux observateurs économiques tunisiens.</w:t>
      </w:r>
    </w:p>
    <w:p>
      <w:pPr>
        <w:pStyle w:val="Heading3"/>
        <w:spacing w:after="100" w:before="220"/>
      </w:pPr>
      <w:r>
        <w:rPr>
          <w:rFonts w:ascii="Calibri" w:cs="Calibri" w:eastAsia="Calibri" w:hAnsi="Calibri"/>
          <w:b/>
          <w:bCs/>
          <w:color w:val="C0392B"/>
          <w:sz w:val="24"/>
          <w:szCs w:val="24"/>
        </w:rPr>
        <w:t xml:space="preserve">Points-clés à retenir</w:t>
      </w:r>
    </w:p>
    <w:p>
      <w:pPr>
        <w:pStyle w:val="ListParagraph"/>
        <w:numPr>
          <w:ilvl w:val="0"/>
          <w:numId w:val="2"/>
        </w:numPr>
        <w:spacing w:after="80" w:line="300"/>
      </w:pPr>
      <w:r>
        <w:rPr>
          <w:rFonts w:ascii="Calibri" w:cs="Calibri" w:eastAsia="Calibri" w:hAnsi="Calibri"/>
          <w:sz w:val="22"/>
          <w:szCs w:val="22"/>
        </w:rPr>
        <w:t xml:space="preserve">L'APII pilote l'encouragement à la création de PME via une déduction dégressive des bénéfices sur quatre ans (100 %, 75 %, 50 %, 25 %), soumise à des conditions strictes de déclaration et de comptabilité.</w:t>
      </w:r>
    </w:p>
    <w:p>
      <w:pPr>
        <w:pStyle w:val="ListParagraph"/>
        <w:numPr>
          <w:ilvl w:val="0"/>
          <w:numId w:val="2"/>
        </w:numPr>
        <w:spacing w:after="80" w:line="300"/>
      </w:pPr>
      <w:r>
        <w:rPr>
          <w:rFonts w:ascii="Calibri" w:cs="Calibri" w:eastAsia="Calibri" w:hAnsi="Calibri"/>
          <w:sz w:val="22"/>
          <w:szCs w:val="22"/>
        </w:rPr>
        <w:t xml:space="preserve">La LF 2026 réintroduit un régime forfaitaire optionnel encadré à 100 000 DT de chiffre d'affaires, avec un impôt forfaitaire de 4 000 DT (CA &lt; 50 k DT) ou 5 000 DT (50–100 k DT) et un abattement de 50 % en zone rurale.</w:t>
      </w:r>
    </w:p>
    <w:p>
      <w:pPr>
        <w:pStyle w:val="ListParagraph"/>
        <w:numPr>
          <w:ilvl w:val="0"/>
          <w:numId w:val="2"/>
        </w:numPr>
        <w:spacing w:after="80" w:line="300"/>
      </w:pPr>
      <w:r>
        <w:rPr>
          <w:rFonts w:ascii="Calibri" w:cs="Calibri" w:eastAsia="Calibri" w:hAnsi="Calibri"/>
          <w:sz w:val="22"/>
          <w:szCs w:val="22"/>
        </w:rPr>
        <w:t xml:space="preserve">Le statut d'auto-entrepreneur (ordonnance n°33 du 10/06/2020) reste accessible sous plafond de chiffre d'affaires (75 000 DT), avec une contribution unique libérant de l'IRPP, de la TVA et des cotisations sociales.</w:t>
      </w:r>
    </w:p>
    <w:p>
      <w:pPr>
        <w:pStyle w:val="ListParagraph"/>
        <w:numPr>
          <w:ilvl w:val="0"/>
          <w:numId w:val="2"/>
        </w:numPr>
        <w:spacing w:after="80" w:line="300"/>
      </w:pPr>
      <w:r>
        <w:rPr>
          <w:rFonts w:ascii="Calibri" w:cs="Calibri" w:eastAsia="Calibri" w:hAnsi="Calibri"/>
          <w:sz w:val="22"/>
          <w:szCs w:val="22"/>
        </w:rPr>
        <w:t xml:space="preserve">Le barème IRPP est progressif en huit tranches, de 0 % à 40 %, le seuil non imposable étant fixé à 5 000 DT. La CSS est maintenue à 0,5 % pour les personnes physiques en 2026 avec une exonération totale en deçà de 5 000 DT.</w:t>
      </w:r>
    </w:p>
    <w:p>
      <w:pPr>
        <w:pStyle w:val="ListParagraph"/>
        <w:numPr>
          <w:ilvl w:val="0"/>
          <w:numId w:val="2"/>
        </w:numPr>
        <w:spacing w:after="80" w:line="300"/>
      </w:pPr>
      <w:r>
        <w:rPr>
          <w:rFonts w:ascii="Calibri" w:cs="Calibri" w:eastAsia="Calibri" w:hAnsi="Calibri"/>
          <w:sz w:val="22"/>
          <w:szCs w:val="22"/>
        </w:rPr>
        <w:t xml:space="preserve">Le taux d'IS de droit commun est passé de 15 % à 20 % depuis l'exercice 2024, avec un barème sectoriel à quatre niveaux (10 %, 20 %, 35 %, 40 %) et une CSS sociétés de 3 % ou 4 % selon le taux d'IS applicable.</w:t>
      </w:r>
    </w:p>
    <w:p>
      <w:r>
        <w:br w:type="page"/>
      </w:r>
    </w:p>
    <w:p>
      <w:pPr>
        <w:pStyle w:val="Heading1"/>
        <w:spacing w:after="200" w:before="360"/>
      </w:pPr>
      <w:r>
        <w:rPr>
          <w:rFonts w:ascii="Calibri" w:cs="Calibri" w:eastAsia="Calibri" w:hAnsi="Calibri"/>
          <w:b/>
          <w:bCs/>
          <w:color w:val="1F3A68"/>
          <w:sz w:val="36"/>
          <w:szCs w:val="36"/>
        </w:rPr>
        <w:t xml:space="preserve">Partie 1 — Les organismes d'appui à l'entreprise</w:t>
      </w:r>
    </w:p>
    <w:p>
      <w:pPr>
        <w:spacing w:after="120" w:line="300"/>
        <w:jc w:val="both"/>
      </w:pPr>
      <w:r>
        <w:rPr>
          <w:rFonts w:ascii="Calibri" w:cs="Calibri" w:eastAsia="Calibri" w:hAnsi="Calibri"/>
          <w:sz w:val="22"/>
          <w:szCs w:val="22"/>
        </w:rPr>
        <w:t xml:space="preserve">La Tunisie dispose d'un écosystème institutionnel structuré, organisé autour d'agences publiques sectorielles qui accompagnent la création, le développement et l'internationalisation des entreprises. Le promoteur de projet peut s'adresser à l'agence correspondant à son secteur d'activité pour bénéficier d'un accompagnement personnalisé et accéder aux avantages prévus par la législation.</w:t>
      </w:r>
    </w:p>
    <w:p>
      <w:pPr>
        <w:pStyle w:val="Heading2"/>
        <w:spacing w:after="140" w:before="280"/>
      </w:pPr>
      <w:r>
        <w:rPr>
          <w:rFonts w:ascii="Calibri" w:cs="Calibri" w:eastAsia="Calibri" w:hAnsi="Calibri"/>
          <w:b/>
          <w:bCs/>
          <w:color w:val="1F3A68"/>
          <w:sz w:val="28"/>
          <w:szCs w:val="28"/>
        </w:rPr>
        <w:t xml:space="preserve">1.1 L'Agence de Promotion de l'Industrie et de l'Innovation (APII)</w:t>
      </w:r>
    </w:p>
    <w:p>
      <w:pPr>
        <w:spacing w:after="120" w:line="300"/>
        <w:jc w:val="both"/>
      </w:pPr>
      <w:r>
        <w:rPr>
          <w:rFonts w:ascii="Calibri" w:cs="Calibri" w:eastAsia="Calibri" w:hAnsi="Calibri"/>
          <w:sz w:val="22"/>
          <w:szCs w:val="22"/>
        </w:rPr>
        <w:t xml:space="preserve">L'APII est une agence gouvernementale dont la mission est de mettre en œuvre la politique du gouvernement tunisien relative à la promotion du secteur industriel, en tant que structure d'appui aux entreprises et aux promoteurs. Elle est organisée en cinq centres d'interventions et dispose de 24 directions régionales situées dans les différents gouvernorats, en plus de son siège à Tunis.</w:t>
      </w:r>
      <w:r>
        <w:rPr>
          <w:rStyle w:val="FootnoteReference"/>
        </w:rPr>
        <w:footnoteReference w:id="1"/>
      </w:r>
    </w:p>
    <w:p>
      <w:pPr>
        <w:spacing w:after="120" w:line="300"/>
        <w:jc w:val="both"/>
      </w:pPr>
      <w:r>
        <w:rPr>
          <w:rFonts w:ascii="Calibri" w:cs="Calibri" w:eastAsia="Calibri" w:hAnsi="Calibri"/>
          <w:sz w:val="22"/>
          <w:szCs w:val="22"/>
        </w:rPr>
        <w:t xml:space="preserve">L'APII est habilitée à accomplir toutes les procédures administratives et légales nécessaires à la constitution des sociétés, à travers son Guichet Unique. Ses prestations s'adressent aux promoteurs tunisiens et étrangers, résidents ou non résidents, qui réalisent des projets d'investissement en Tunisie.</w:t>
      </w:r>
      <w:r>
        <w:rPr>
          <w:rStyle w:val="FootnoteReference"/>
        </w:rPr>
        <w:footnoteReference w:id="2"/>
      </w:r>
    </w:p>
    <w:p>
      <w:pPr>
        <w:pStyle w:val="Heading3"/>
        <w:spacing w:after="100" w:before="220"/>
      </w:pPr>
      <w:r>
        <w:rPr>
          <w:rFonts w:ascii="Calibri" w:cs="Calibri" w:eastAsia="Calibri" w:hAnsi="Calibri"/>
          <w:b/>
          <w:bCs/>
          <w:color w:val="C0392B"/>
          <w:sz w:val="24"/>
          <w:szCs w:val="24"/>
        </w:rPr>
        <w:t xml:space="preserve">Poursuite de l'encouragement à la création d'entreprises (PME)</w:t>
      </w:r>
    </w:p>
    <w:p>
      <w:pPr>
        <w:spacing w:after="120" w:line="300"/>
        <w:jc w:val="both"/>
      </w:pPr>
      <w:r>
        <w:rPr>
          <w:rFonts w:ascii="Calibri" w:cs="Calibri" w:eastAsia="Calibri" w:hAnsi="Calibri"/>
          <w:sz w:val="22"/>
          <w:szCs w:val="22"/>
        </w:rPr>
        <w:t xml:space="preserve">Le cadre des avantages fiscaux à la création d'entreprises a été refondu par la loi n° 2017-8 du 14 février 2017. Les entreprises éligibles (hors secteurs exclus : finance, énergie hors renouvelables, mines, promotion immobilière, consommation sur place, commerce, télécommunications) peuvent déduire une quote-part de leurs bénéfices ou revenus provenant de l'exploitation des quatre premières années d'activité, ainsi que les bénéfices exceptionnels liés à l'activité principale.</w:t>
      </w:r>
      <w:r>
        <w:rPr>
          <w:rStyle w:val="FootnoteReference"/>
        </w:rPr>
        <w:footnoteReference w:id="3"/>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4819"/>
        <w:gridCol w:w="4819"/>
      </w:tblGrid>
      <w:tr>
        <w:trPr>
          <w:tblHeader/>
        </w:trPr>
        <w:tc>
          <w:tcPr>
            <w:tcW w:type="dxa" w:w="4819"/>
            <w:tcBorders>
              <w:top w:val="single" w:color="B0B0B0" w:sz="4"/>
              <w:left w:val="single" w:color="B0B0B0" w:sz="4"/>
              <w:bottom w:val="single" w:color="B0B0B0" w:sz="4"/>
              <w:right w:val="single" w:color="B0B0B0" w:sz="4"/>
            </w:tcBorders>
            <w:shd w:fill="1F3A68" w:color="auto" w:val="clear"/>
            <w:tcMar>
              <w:top w:type="dxa" w:w="80"/>
              <w:left w:type="dxa" w:w="120"/>
              <w:bottom w:type="dxa" w:w="80"/>
              <w:right w:type="dxa" w:w="120"/>
            </w:tcMar>
            <w:vAlign w:val="center"/>
          </w:tcPr>
          <w:p>
            <w:pPr>
              <w:spacing w:after="0" w:line="280"/>
              <w:jc w:val="center"/>
            </w:pPr>
            <w:r>
              <w:rPr>
                <w:rFonts w:ascii="Calibri" w:cs="Calibri" w:eastAsia="Calibri" w:hAnsi="Calibri"/>
                <w:b/>
                <w:bCs/>
                <w:color w:val="FFFFFF"/>
                <w:sz w:val="20"/>
                <w:szCs w:val="20"/>
              </w:rPr>
              <w:t xml:space="preserve">Année d'exploitation</w:t>
            </w:r>
          </w:p>
        </w:tc>
        <w:tc>
          <w:tcPr>
            <w:tcW w:type="dxa" w:w="4819"/>
            <w:tcBorders>
              <w:top w:val="single" w:color="B0B0B0" w:sz="4"/>
              <w:left w:val="single" w:color="B0B0B0" w:sz="4"/>
              <w:bottom w:val="single" w:color="B0B0B0" w:sz="4"/>
              <w:right w:val="single" w:color="B0B0B0" w:sz="4"/>
            </w:tcBorders>
            <w:shd w:fill="1F3A68" w:color="auto" w:val="clear"/>
            <w:tcMar>
              <w:top w:type="dxa" w:w="80"/>
              <w:left w:type="dxa" w:w="120"/>
              <w:bottom w:type="dxa" w:w="80"/>
              <w:right w:type="dxa" w:w="120"/>
            </w:tcMar>
            <w:vAlign w:val="center"/>
          </w:tcPr>
          <w:p>
            <w:pPr>
              <w:spacing w:after="0" w:line="280"/>
              <w:jc w:val="center"/>
            </w:pPr>
            <w:r>
              <w:rPr>
                <w:rFonts w:ascii="Calibri" w:cs="Calibri" w:eastAsia="Calibri" w:hAnsi="Calibri"/>
                <w:b/>
                <w:bCs/>
                <w:color w:val="FFFFFF"/>
                <w:sz w:val="20"/>
                <w:szCs w:val="20"/>
              </w:rPr>
              <w:t xml:space="preserve">Taux de déduction</w:t>
            </w:r>
          </w:p>
        </w:tc>
      </w:tr>
      <w:tr>
        <w:tc>
          <w:tcPr>
            <w:tcW w:type="dxa" w:w="4819"/>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sz w:val="20"/>
                <w:szCs w:val="20"/>
              </w:rPr>
              <w:t xml:space="preserve">Première année</w:t>
            </w:r>
          </w:p>
        </w:tc>
        <w:tc>
          <w:tcPr>
            <w:tcW w:type="dxa" w:w="4819"/>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b/>
                <w:bCs/>
                <w:color w:val="C0392B"/>
                <w:sz w:val="20"/>
                <w:szCs w:val="20"/>
              </w:rPr>
              <w:t xml:space="preserve">100 %</w:t>
            </w:r>
          </w:p>
        </w:tc>
      </w:tr>
      <w:tr>
        <w:tc>
          <w:tcPr>
            <w:tcW w:type="dxa" w:w="4819"/>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sz w:val="20"/>
                <w:szCs w:val="20"/>
              </w:rPr>
              <w:t xml:space="preserve">Deuxième année</w:t>
            </w:r>
          </w:p>
        </w:tc>
        <w:tc>
          <w:tcPr>
            <w:tcW w:type="dxa" w:w="4819"/>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b/>
                <w:bCs/>
                <w:color w:val="C0392B"/>
                <w:sz w:val="20"/>
                <w:szCs w:val="20"/>
              </w:rPr>
              <w:t xml:space="preserve">75 %</w:t>
            </w:r>
          </w:p>
        </w:tc>
      </w:tr>
      <w:tr>
        <w:tc>
          <w:tcPr>
            <w:tcW w:type="dxa" w:w="4819"/>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sz w:val="20"/>
                <w:szCs w:val="20"/>
              </w:rPr>
              <w:t xml:space="preserve">Troisième année</w:t>
            </w:r>
          </w:p>
        </w:tc>
        <w:tc>
          <w:tcPr>
            <w:tcW w:type="dxa" w:w="4819"/>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b/>
                <w:bCs/>
                <w:color w:val="C0392B"/>
                <w:sz w:val="20"/>
                <w:szCs w:val="20"/>
              </w:rPr>
              <w:t xml:space="preserve">50 %</w:t>
            </w:r>
          </w:p>
        </w:tc>
      </w:tr>
      <w:tr>
        <w:tc>
          <w:tcPr>
            <w:tcW w:type="dxa" w:w="4819"/>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sz w:val="20"/>
                <w:szCs w:val="20"/>
              </w:rPr>
              <w:t xml:space="preserve">Quatrième année</w:t>
            </w:r>
          </w:p>
        </w:tc>
        <w:tc>
          <w:tcPr>
            <w:tcW w:type="dxa" w:w="4819"/>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b/>
                <w:bCs/>
                <w:color w:val="C0392B"/>
                <w:sz w:val="20"/>
                <w:szCs w:val="20"/>
              </w:rPr>
              <w:t xml:space="preserve">25 %</w:t>
            </w:r>
          </w:p>
        </w:tc>
      </w:tr>
    </w:tbl>
    <w:p>
      <w:pPr>
        <w:spacing w:after="120"/>
      </w:pPr>
      <w: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1F3A68" w:sz="8"/>
              <w:left w:val="single" w:color="1F3A68" w:sz="18"/>
              <w:bottom w:val="single" w:color="1F3A68" w:sz="8"/>
              <w:right w:val="single" w:color="1F3A68" w:sz="8"/>
            </w:tcBorders>
            <w:shd w:fill="F4F8FC" w:color="auto" w:val="clear"/>
            <w:tcMar>
              <w:top w:type="dxa" w:w="160"/>
              <w:left w:type="dxa" w:w="220"/>
              <w:bottom w:type="dxa" w:w="160"/>
              <w:right w:type="dxa" w:w="200"/>
            </w:tcMar>
          </w:tcPr>
          <w:p>
            <w:pPr>
              <w:spacing w:after="80"/>
            </w:pPr>
            <w:r>
              <w:rPr>
                <w:rFonts w:ascii="Calibri" w:cs="Calibri" w:eastAsia="Calibri" w:hAnsi="Calibri"/>
                <w:b/>
                <w:bCs/>
                <w:color w:val="1F3A68"/>
                <w:sz w:val="22"/>
                <w:szCs w:val="22"/>
              </w:rPr>
              <w:t xml:space="preserve">Conditions cumulatives pour bénéficier de la déduction (loi n° 2017-8)</w:t>
            </w:r>
          </w:p>
          <w:p>
            <w:pPr>
              <w:spacing w:after="60" w:line="280"/>
            </w:pPr>
            <w:r>
              <w:rPr>
                <w:rFonts w:ascii="Calibri" w:cs="Calibri" w:eastAsia="Calibri" w:hAnsi="Calibri"/>
                <w:color w:val="4A4A4A"/>
                <w:sz w:val="20"/>
                <w:szCs w:val="20"/>
              </w:rPr>
              <w:t xml:space="preserve">• Dépôt d'une déclaration d'investissement auprès des services concernés.</w:t>
            </w:r>
          </w:p>
          <w:p>
            <w:pPr>
              <w:spacing w:after="60" w:line="280"/>
            </w:pPr>
            <w:r>
              <w:rPr>
                <w:rFonts w:ascii="Calibri" w:cs="Calibri" w:eastAsia="Calibri" w:hAnsi="Calibri"/>
                <w:color w:val="4A4A4A"/>
                <w:sz w:val="20"/>
                <w:szCs w:val="20"/>
              </w:rPr>
              <w:t xml:space="preserve">• Réalisation d'un schéma de financement avec un minimum de fonds propres.</w:t>
            </w:r>
          </w:p>
          <w:p>
            <w:pPr>
              <w:spacing w:after="60" w:line="280"/>
            </w:pPr>
            <w:r>
              <w:rPr>
                <w:rFonts w:ascii="Calibri" w:cs="Calibri" w:eastAsia="Calibri" w:hAnsi="Calibri"/>
                <w:color w:val="4A4A4A"/>
                <w:sz w:val="20"/>
                <w:szCs w:val="20"/>
              </w:rPr>
              <w:t xml:space="preserve">• Entrée en activité effective de l'entreprise.</w:t>
            </w:r>
          </w:p>
          <w:p>
            <w:pPr>
              <w:spacing w:after="60" w:line="280"/>
            </w:pPr>
            <w:r>
              <w:rPr>
                <w:rFonts w:ascii="Calibri" w:cs="Calibri" w:eastAsia="Calibri" w:hAnsi="Calibri"/>
                <w:color w:val="4A4A4A"/>
                <w:sz w:val="20"/>
                <w:szCs w:val="20"/>
              </w:rPr>
              <w:t xml:space="preserve">• Production d'une attestation justifiant l'entrée en activité effective.</w:t>
            </w:r>
          </w:p>
          <w:p>
            <w:pPr>
              <w:spacing w:after="60" w:line="280"/>
            </w:pPr>
            <w:r>
              <w:rPr>
                <w:rFonts w:ascii="Calibri" w:cs="Calibri" w:eastAsia="Calibri" w:hAnsi="Calibri"/>
                <w:color w:val="4A4A4A"/>
                <w:sz w:val="20"/>
                <w:szCs w:val="20"/>
              </w:rPr>
              <w:t xml:space="preserve">• Régularisation de la situation à l'égard des caisses de sécurité sociale.</w:t>
            </w:r>
          </w:p>
          <w:p>
            <w:pPr>
              <w:spacing w:after="60" w:line="280"/>
            </w:pPr>
            <w:r>
              <w:rPr>
                <w:rFonts w:ascii="Calibri" w:cs="Calibri" w:eastAsia="Calibri" w:hAnsi="Calibri"/>
                <w:color w:val="4A4A4A"/>
                <w:sz w:val="20"/>
                <w:szCs w:val="20"/>
              </w:rPr>
              <w:t xml:space="preserve">• Tenue d'une comptabilité conforme à la législation comptable des entreprises.</w:t>
            </w:r>
          </w:p>
        </w:tc>
      </w:tr>
    </w:tbl>
    <w:p>
      <w:pPr>
        <w:spacing w:after="200"/>
      </w:pPr>
      <w:r>
        <w:t xml:space="preserve"/>
      </w:r>
    </w:p>
    <w:p>
      <w:pPr>
        <w:pStyle w:val="Heading3"/>
        <w:spacing w:after="100" w:before="220"/>
      </w:pPr>
      <w:r>
        <w:rPr>
          <w:rFonts w:ascii="Calibri" w:cs="Calibri" w:eastAsia="Calibri" w:hAnsi="Calibri"/>
          <w:b/>
          <w:bCs/>
          <w:color w:val="C0392B"/>
          <w:sz w:val="24"/>
          <w:szCs w:val="24"/>
        </w:rPr>
        <w:t xml:space="preserve">Cas d'exclusion du dispositif</w:t>
      </w:r>
    </w:p>
    <w:p>
      <w:pPr>
        <w:spacing w:after="120" w:line="300"/>
        <w:jc w:val="both"/>
      </w:pPr>
      <w:r>
        <w:rPr>
          <w:rFonts w:ascii="Calibri" w:cs="Calibri" w:eastAsia="Calibri" w:hAnsi="Calibri"/>
          <w:sz w:val="22"/>
          <w:szCs w:val="22"/>
        </w:rPr>
        <w:t xml:space="preserve">Le bénéfice de l'encouragement ne s'applique pas aux sociétés créées à la suite de :</w:t>
      </w:r>
    </w:p>
    <w:p>
      <w:pPr>
        <w:pStyle w:val="ListParagraph"/>
        <w:numPr>
          <w:ilvl w:val="0"/>
          <w:numId w:val="2"/>
        </w:numPr>
        <w:spacing w:after="80" w:line="300"/>
      </w:pPr>
      <w:r>
        <w:rPr>
          <w:rFonts w:ascii="Calibri" w:cs="Calibri" w:eastAsia="Calibri" w:hAnsi="Calibri"/>
          <w:sz w:val="22"/>
          <w:szCs w:val="22"/>
        </w:rPr>
        <w:t xml:space="preserve">Transmission de société, cessation d'activité ou modification de forme juridique, pour l'exercice de la même activité relative au même produit ou service ;</w:t>
      </w:r>
    </w:p>
    <w:p>
      <w:pPr>
        <w:pStyle w:val="ListParagraph"/>
        <w:numPr>
          <w:ilvl w:val="0"/>
          <w:numId w:val="2"/>
        </w:numPr>
        <w:spacing w:after="80" w:line="300"/>
      </w:pPr>
      <w:r>
        <w:rPr>
          <w:rFonts w:ascii="Calibri" w:cs="Calibri" w:eastAsia="Calibri" w:hAnsi="Calibri"/>
          <w:sz w:val="22"/>
          <w:szCs w:val="22"/>
        </w:rPr>
        <w:t xml:space="preserve">Création d'une nouvelle société dans le même secteur d'activité ;</w:t>
      </w:r>
    </w:p>
    <w:p>
      <w:pPr>
        <w:pStyle w:val="ListParagraph"/>
        <w:numPr>
          <w:ilvl w:val="0"/>
          <w:numId w:val="2"/>
        </w:numPr>
        <w:spacing w:after="80" w:line="300"/>
      </w:pPr>
      <w:r>
        <w:rPr>
          <w:rFonts w:ascii="Calibri" w:cs="Calibri" w:eastAsia="Calibri" w:hAnsi="Calibri"/>
          <w:sz w:val="22"/>
          <w:szCs w:val="22"/>
        </w:rPr>
        <w:t xml:space="preserve">Création par des personnes ayant exercé la même nature d'activité (« personne patentée ») ;</w:t>
      </w:r>
    </w:p>
    <w:p>
      <w:pPr>
        <w:pStyle w:val="ListParagraph"/>
        <w:numPr>
          <w:ilvl w:val="0"/>
          <w:numId w:val="2"/>
        </w:numPr>
        <w:spacing w:after="80" w:line="300"/>
      </w:pPr>
      <w:r>
        <w:rPr>
          <w:rFonts w:ascii="Calibri" w:cs="Calibri" w:eastAsia="Calibri" w:hAnsi="Calibri"/>
          <w:sz w:val="22"/>
          <w:szCs w:val="22"/>
        </w:rPr>
        <w:t xml:space="preserve">Création par des associés ou gérants d'une société exerçant dans le même secteur ;</w:t>
      </w:r>
    </w:p>
    <w:p>
      <w:pPr>
        <w:pStyle w:val="ListParagraph"/>
        <w:numPr>
          <w:ilvl w:val="0"/>
          <w:numId w:val="2"/>
        </w:numPr>
        <w:spacing w:after="80" w:line="300"/>
      </w:pPr>
      <w:r>
        <w:rPr>
          <w:rFonts w:ascii="Calibri" w:cs="Calibri" w:eastAsia="Calibri" w:hAnsi="Calibri"/>
          <w:sz w:val="22"/>
          <w:szCs w:val="22"/>
        </w:rPr>
        <w:t xml:space="preserve">Création par des personnes ayant un lien de parenté de premier degré (conjoint, parents, enfants) avec des associés d'une société du même secteur.</w:t>
      </w:r>
    </w:p>
    <w:p>
      <w:pPr>
        <w:pStyle w:val="Heading3"/>
        <w:spacing w:after="100" w:before="220"/>
      </w:pPr>
      <w:r>
        <w:rPr>
          <w:rFonts w:ascii="Calibri" w:cs="Calibri" w:eastAsia="Calibri" w:hAnsi="Calibri"/>
          <w:b/>
          <w:bCs/>
          <w:color w:val="C0392B"/>
          <w:sz w:val="24"/>
          <w:szCs w:val="24"/>
        </w:rPr>
        <w:t xml:space="preserve">L'Attestation d'Entrée en Production</w:t>
      </w:r>
    </w:p>
    <w:p>
      <w:pPr>
        <w:spacing w:after="120" w:line="300"/>
        <w:jc w:val="both"/>
      </w:pPr>
      <w:r>
        <w:rPr>
          <w:rFonts w:ascii="Calibri" w:cs="Calibri" w:eastAsia="Calibri" w:hAnsi="Calibri"/>
          <w:sz w:val="22"/>
          <w:szCs w:val="22"/>
        </w:rPr>
        <w:t xml:space="preserve">L'Attestation d'Entrée en Production est délivrée par les services compétents avant l'expiration de l'année qui suit l'entrée en production effective du projet, sur la base d'un constat physique et de la présentation de la première facture de vente (Facture N°1).</w:t>
      </w:r>
      <w:r>
        <w:rPr>
          <w:rStyle w:val="FootnoteReference"/>
        </w:rPr>
        <w:footnoteReference w:id="4"/>
      </w:r>
    </w:p>
    <w:p>
      <w:pPr>
        <w:spacing w:after="120" w:line="300"/>
        <w:jc w:val="both"/>
      </w:pPr>
      <w:r>
        <w:rPr>
          <w:rFonts w:ascii="Calibri" w:cs="Calibri" w:eastAsia="Calibri" w:hAnsi="Calibri"/>
          <w:sz w:val="22"/>
          <w:szCs w:val="22"/>
        </w:rPr>
        <w:t xml:space="preserve">Le promoteur dépose une demande accompagnée des justificatifs de la date effective d'entrée en production, dans un délai maximal de deux ans à compter de la date de déclaration de réalisation du projet d'investissement.</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1F3A68" w:sz="8"/>
              <w:left w:val="single" w:color="1F3A68" w:sz="18"/>
              <w:bottom w:val="single" w:color="1F3A68" w:sz="8"/>
              <w:right w:val="single" w:color="1F3A68" w:sz="8"/>
            </w:tcBorders>
            <w:shd w:fill="F4F8FC" w:color="auto" w:val="clear"/>
            <w:tcMar>
              <w:top w:type="dxa" w:w="160"/>
              <w:left w:type="dxa" w:w="220"/>
              <w:bottom w:type="dxa" w:w="160"/>
              <w:right w:type="dxa" w:w="200"/>
            </w:tcMar>
          </w:tcPr>
          <w:p>
            <w:pPr>
              <w:spacing w:after="80"/>
            </w:pPr>
            <w:r>
              <w:rPr>
                <w:rFonts w:ascii="Calibri" w:cs="Calibri" w:eastAsia="Calibri" w:hAnsi="Calibri"/>
                <w:b/>
                <w:bCs/>
                <w:color w:val="1F3A68"/>
                <w:sz w:val="22"/>
                <w:szCs w:val="22"/>
              </w:rPr>
              <w:t xml:space="preserve">À noter</w:t>
            </w:r>
          </w:p>
          <w:p>
            <w:pPr>
              <w:spacing w:after="60" w:line="280"/>
            </w:pPr>
            <w:r>
              <w:rPr>
                <w:rFonts w:ascii="Calibri" w:cs="Calibri" w:eastAsia="Calibri" w:hAnsi="Calibri"/>
                <w:color w:val="4A4A4A"/>
                <w:sz w:val="20"/>
                <w:szCs w:val="20"/>
              </w:rPr>
              <w:t xml:space="preserve">La déclaration d'investissement effectuée sans Identifiant Fiscal (Patente) ne donne pas droit, de manière automatique, à l'obtention des avantages fiscaux.</w:t>
            </w:r>
          </w:p>
        </w:tc>
      </w:tr>
    </w:tbl>
    <w:p>
      <w:pPr>
        <w:spacing w:after="200"/>
      </w:pPr>
      <w:r>
        <w:t xml:space="preserve"/>
      </w:r>
    </w:p>
    <w:p>
      <w:pPr>
        <w:pStyle w:val="Heading3"/>
        <w:spacing w:after="100" w:before="220"/>
      </w:pPr>
      <w:r>
        <w:rPr>
          <w:rFonts w:ascii="Calibri" w:cs="Calibri" w:eastAsia="Calibri" w:hAnsi="Calibri"/>
          <w:b/>
          <w:bCs/>
          <w:color w:val="C0392B"/>
          <w:sz w:val="24"/>
          <w:szCs w:val="24"/>
        </w:rPr>
        <w:t xml:space="preserve">Avantages complémentaires en zones de développement régional</w:t>
      </w:r>
    </w:p>
    <w:p>
      <w:pPr>
        <w:spacing w:after="120" w:line="300"/>
        <w:jc w:val="both"/>
      </w:pPr>
      <w:r>
        <w:rPr>
          <w:rFonts w:ascii="Calibri" w:cs="Calibri" w:eastAsia="Calibri" w:hAnsi="Calibri"/>
          <w:sz w:val="22"/>
          <w:szCs w:val="22"/>
        </w:rPr>
        <w:t xml:space="preserve">Au-delà de l'encouragement aux PME, les investissements directs réalisés en zones de développement régional bénéficient d'incitations spécifiques : déduction de 100 % des revenus/bénéfices pendant 5 ans (premier groupe de zones) ou 10 ans (deuxième groupe), puis déduction des deux tiers à l'issue de la période d'exonération totale, ainsi qu'un taux d'IS réduit de 10 % sur les bénéfices d'exploitation après la période d'exonération.</w:t>
      </w:r>
      <w:r>
        <w:rPr>
          <w:rStyle w:val="FootnoteReference"/>
        </w:rPr>
        <w:footnoteReference w:id="30"/>
      </w:r>
    </w:p>
    <w:p>
      <w:pPr>
        <w:pStyle w:val="Heading2"/>
        <w:spacing w:after="140" w:before="280"/>
      </w:pPr>
      <w:r>
        <w:rPr>
          <w:rFonts w:ascii="Calibri" w:cs="Calibri" w:eastAsia="Calibri" w:hAnsi="Calibri"/>
          <w:b/>
          <w:bCs/>
          <w:color w:val="1F3A68"/>
          <w:sz w:val="28"/>
          <w:szCs w:val="28"/>
        </w:rPr>
        <w:t xml:space="preserve">1.2 Les autres organismes nationaux d'appui</w:t>
      </w:r>
    </w:p>
    <w:p>
      <w:pPr>
        <w:spacing w:after="120" w:line="300"/>
        <w:jc w:val="both"/>
      </w:pPr>
      <w:r>
        <w:rPr>
          <w:rFonts w:ascii="Calibri" w:cs="Calibri" w:eastAsia="Calibri" w:hAnsi="Calibri"/>
          <w:sz w:val="22"/>
          <w:szCs w:val="22"/>
        </w:rPr>
        <w:t xml:space="preserve">Au-delà de l'APII, plusieurs agences spécialisées interviennent selon la nature du projet et le marché visé :</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500"/>
        <w:gridCol w:w="6138"/>
      </w:tblGrid>
      <w:tr>
        <w:trPr>
          <w:tblHeader/>
        </w:trPr>
        <w:tc>
          <w:tcPr>
            <w:tcW w:type="dxa" w:w="3500"/>
            <w:tcBorders>
              <w:top w:val="single" w:color="B0B0B0" w:sz="4"/>
              <w:left w:val="single" w:color="B0B0B0" w:sz="4"/>
              <w:bottom w:val="single" w:color="B0B0B0" w:sz="4"/>
              <w:right w:val="single" w:color="B0B0B0" w:sz="4"/>
            </w:tcBorders>
            <w:shd w:fill="1F3A68" w:color="auto" w:val="clear"/>
            <w:tcMar>
              <w:top w:type="dxa" w:w="80"/>
              <w:left w:type="dxa" w:w="120"/>
              <w:bottom w:type="dxa" w:w="80"/>
              <w:right w:type="dxa" w:w="120"/>
            </w:tcMar>
            <w:vAlign w:val="center"/>
          </w:tcPr>
          <w:p>
            <w:pPr>
              <w:spacing w:after="0" w:line="280"/>
              <w:jc w:val="center"/>
            </w:pPr>
            <w:r>
              <w:rPr>
                <w:rFonts w:ascii="Calibri" w:cs="Calibri" w:eastAsia="Calibri" w:hAnsi="Calibri"/>
                <w:b/>
                <w:bCs/>
                <w:color w:val="FFFFFF"/>
                <w:sz w:val="20"/>
                <w:szCs w:val="20"/>
              </w:rPr>
              <w:t xml:space="preserve">Organisme</w:t>
            </w:r>
          </w:p>
        </w:tc>
        <w:tc>
          <w:tcPr>
            <w:tcW w:type="dxa" w:w="6138"/>
            <w:tcBorders>
              <w:top w:val="single" w:color="B0B0B0" w:sz="4"/>
              <w:left w:val="single" w:color="B0B0B0" w:sz="4"/>
              <w:bottom w:val="single" w:color="B0B0B0" w:sz="4"/>
              <w:right w:val="single" w:color="B0B0B0" w:sz="4"/>
            </w:tcBorders>
            <w:shd w:fill="1F3A68" w:color="auto" w:val="clear"/>
            <w:tcMar>
              <w:top w:type="dxa" w:w="80"/>
              <w:left w:type="dxa" w:w="120"/>
              <w:bottom w:type="dxa" w:w="80"/>
              <w:right w:type="dxa" w:w="120"/>
            </w:tcMar>
            <w:vAlign w:val="center"/>
          </w:tcPr>
          <w:p>
            <w:pPr>
              <w:spacing w:after="0" w:line="280"/>
              <w:jc w:val="center"/>
            </w:pPr>
            <w:r>
              <w:rPr>
                <w:rFonts w:ascii="Calibri" w:cs="Calibri" w:eastAsia="Calibri" w:hAnsi="Calibri"/>
                <w:b/>
                <w:bCs/>
                <w:color w:val="FFFFFF"/>
                <w:sz w:val="20"/>
                <w:szCs w:val="20"/>
              </w:rPr>
              <w:t xml:space="preserve">Mission principale</w:t>
            </w:r>
          </w:p>
        </w:tc>
      </w:tr>
      <w:tr>
        <w:tc>
          <w:tcPr>
            <w:tcW w:type="dxa" w:w="3500"/>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b/>
                <w:bCs/>
                <w:sz w:val="20"/>
                <w:szCs w:val="20"/>
              </w:rPr>
              <w:t xml:space="preserve">APIA</w:t>
            </w:r>
          </w:p>
        </w:tc>
        <w:tc>
          <w:tcPr>
            <w:tcW w:type="dxa" w:w="6138"/>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sz w:val="20"/>
                <w:szCs w:val="20"/>
              </w:rPr>
              <w:t xml:space="preserve">Agence de Promotion des Investissements Agricoles : institution publique non administrative, basée à Tunis avec 24 antennes régionales, chargée de promouvoir l'investissement privé en agriculture, pêche et services associés. Elle a été accréditée auprès du Green Climate Fund pour les projets verts.</w:t>
            </w:r>
          </w:p>
        </w:tc>
      </w:tr>
      <w:tr>
        <w:tc>
          <w:tcPr>
            <w:tcW w:type="dxa" w:w="3500"/>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b/>
                <w:bCs/>
                <w:sz w:val="20"/>
                <w:szCs w:val="20"/>
              </w:rPr>
              <w:t xml:space="preserve">Office National de l'Artisanat (ONA)</w:t>
            </w:r>
          </w:p>
        </w:tc>
        <w:tc>
          <w:tcPr>
            <w:tcW w:type="dxa" w:w="6138"/>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sz w:val="20"/>
                <w:szCs w:val="20"/>
              </w:rPr>
              <w:t xml:space="preserve">Établissement public chargé de la promotion, de l'organisation et de l'encadrement du secteur de l'artisanat tunisien (الديوان الوطني للصناعات التقليدية).</w:t>
            </w:r>
          </w:p>
        </w:tc>
      </w:tr>
      <w:tr>
        <w:tc>
          <w:tcPr>
            <w:tcW w:type="dxa" w:w="3500"/>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b/>
                <w:bCs/>
                <w:sz w:val="20"/>
                <w:szCs w:val="20"/>
              </w:rPr>
              <w:t xml:space="preserve">FIPA-Tunisia</w:t>
            </w:r>
          </w:p>
        </w:tc>
        <w:tc>
          <w:tcPr>
            <w:tcW w:type="dxa" w:w="6138"/>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sz w:val="20"/>
                <w:szCs w:val="20"/>
              </w:rPr>
              <w:t xml:space="preserve">Agence de Promotion de l'Investissement Extérieur (créée en 1995) : facilitateur des investissements internationaux en Tunisie, avec des bureaux à l'étranger (Paris, Cologne, etc.) qui accompagnent les investisseurs étrangers.</w:t>
            </w:r>
          </w:p>
        </w:tc>
      </w:tr>
      <w:tr>
        <w:tc>
          <w:tcPr>
            <w:tcW w:type="dxa" w:w="3500"/>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b/>
                <w:bCs/>
                <w:sz w:val="20"/>
                <w:szCs w:val="20"/>
              </w:rPr>
              <w:t xml:space="preserve">CEPEX (Tunisia Export)</w:t>
            </w:r>
          </w:p>
        </w:tc>
        <w:tc>
          <w:tcPr>
            <w:tcW w:type="dxa" w:w="6138"/>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sz w:val="20"/>
                <w:szCs w:val="20"/>
              </w:rPr>
              <w:t xml:space="preserve">Centre de Promotion des Exportations (plus de 50 ans d'expérience) : information, conseil et accompagnement des exportateurs tunisiens, organisation de missions B2B et de salons à l'étranger, promotion du catalogue d'exportation.</w:t>
            </w:r>
          </w:p>
        </w:tc>
      </w:tr>
      <w:tr>
        <w:tc>
          <w:tcPr>
            <w:tcW w:type="dxa" w:w="3500"/>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b/>
                <w:bCs/>
                <w:sz w:val="20"/>
                <w:szCs w:val="20"/>
              </w:rPr>
              <w:t xml:space="preserve">TIA</w:t>
            </w:r>
          </w:p>
        </w:tc>
        <w:tc>
          <w:tcPr>
            <w:tcW w:type="dxa" w:w="6138"/>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sz w:val="20"/>
                <w:szCs w:val="20"/>
              </w:rPr>
              <w:t xml:space="preserve">Tunisia Investment Authority : instance dépendant du Ministère de l'Économie et de la Planification, créée pour piloter et promouvoir l'investissement national et international.</w:t>
            </w:r>
          </w:p>
        </w:tc>
      </w:tr>
      <w:tr>
        <w:tc>
          <w:tcPr>
            <w:tcW w:type="dxa" w:w="3500"/>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b/>
                <w:bCs/>
                <w:sz w:val="20"/>
                <w:szCs w:val="20"/>
              </w:rPr>
              <w:t xml:space="preserve">RNE</w:t>
            </w:r>
          </w:p>
        </w:tc>
        <w:tc>
          <w:tcPr>
            <w:tcW w:type="dxa" w:w="6138"/>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sz w:val="20"/>
                <w:szCs w:val="20"/>
              </w:rPr>
              <w:t xml:space="preserve">Registre National des Entreprises : réservation de dénomination sociale ou de nom commercial, immatriculation et modification d'entreprise. Plateformes www.registre-entreprises.tn et www.e-rne.tn.</w:t>
            </w:r>
          </w:p>
        </w:tc>
      </w:tr>
      <w:tr>
        <w:tc>
          <w:tcPr>
            <w:tcW w:type="dxa" w:w="3500"/>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b/>
                <w:bCs/>
                <w:sz w:val="20"/>
                <w:szCs w:val="20"/>
              </w:rPr>
              <w:t xml:space="preserve">INNORPI</w:t>
            </w:r>
          </w:p>
        </w:tc>
        <w:tc>
          <w:tcPr>
            <w:tcW w:type="dxa" w:w="6138"/>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sz w:val="20"/>
                <w:szCs w:val="20"/>
              </w:rPr>
              <w:t xml:space="preserve">Institut National de la Normalisation et de la Propriété Industrielle : enregistrement des marques (protection 10 ans renouvelable indéfiniment) et brevets d'invention (protection 20 ans à compter du dépôt, avec annuités de maintien en vigueur).</w:t>
            </w:r>
          </w:p>
        </w:tc>
      </w:tr>
    </w:tbl>
    <w:p>
      <w:pPr>
        <w:spacing w:after="80"/>
      </w:pPr>
      <w:r>
        <w:t xml:space="preserve"/>
      </w:r>
    </w:p>
    <w:p>
      <w:pPr>
        <w:spacing w:after="120" w:line="300"/>
        <w:jc w:val="both"/>
      </w:pPr>
      <w:r>
        <w:rPr>
          <w:rFonts w:ascii="Calibri" w:cs="Calibri" w:eastAsia="Calibri" w:hAnsi="Calibri"/>
          <w:i/>
          <w:iCs/>
          <w:color w:val="4A4A4A"/>
          <w:sz w:val="18"/>
          <w:szCs w:val="18"/>
        </w:rPr>
        <w:t xml:space="preserve">Sources : </w:t>
      </w:r>
      <w:r>
        <w:rPr>
          <w:rFonts w:ascii="Calibri" w:cs="Calibri" w:eastAsia="Calibri" w:hAnsi="Calibri"/>
          <w:sz w:val="18"/>
          <w:szCs w:val="18"/>
        </w:rPr>
        <w:t xml:space="preserve">APIA</w:t>
      </w:r>
      <w:r>
        <w:rPr>
          <w:rStyle w:val="FootnoteReference"/>
        </w:rPr>
        <w:footnoteReference w:id="5"/>
      </w:r>
      <w:r>
        <w:rPr>
          <w:rFonts w:ascii="Calibri" w:cs="Calibri" w:eastAsia="Calibri" w:hAnsi="Calibri"/>
          <w:sz w:val="18"/>
          <w:szCs w:val="18"/>
        </w:rPr>
        <w:t xml:space="preserve"> — APIA (Green Climate Fund)</w:t>
      </w:r>
      <w:r>
        <w:rPr>
          <w:rStyle w:val="FootnoteReference"/>
        </w:rPr>
        <w:footnoteReference w:id="6"/>
      </w:r>
      <w:r>
        <w:rPr>
          <w:rFonts w:ascii="Calibri" w:cs="Calibri" w:eastAsia="Calibri" w:hAnsi="Calibri"/>
          <w:sz w:val="18"/>
          <w:szCs w:val="18"/>
        </w:rPr>
        <w:t xml:space="preserve"> — FIPA</w:t>
      </w:r>
      <w:r>
        <w:rPr>
          <w:rStyle w:val="FootnoteReference"/>
        </w:rPr>
        <w:footnoteReference w:id="7"/>
      </w:r>
      <w:r>
        <w:rPr>
          <w:rFonts w:ascii="Calibri" w:cs="Calibri" w:eastAsia="Calibri" w:hAnsi="Calibri"/>
          <w:sz w:val="18"/>
          <w:szCs w:val="18"/>
        </w:rPr>
        <w:t xml:space="preserve"> — CEPEX</w:t>
      </w:r>
      <w:r>
        <w:rPr>
          <w:rStyle w:val="FootnoteReference"/>
        </w:rPr>
        <w:footnoteReference w:id="8"/>
      </w:r>
      <w:r>
        <w:rPr>
          <w:rFonts w:ascii="Calibri" w:cs="Calibri" w:eastAsia="Calibri" w:hAnsi="Calibri"/>
          <w:sz w:val="18"/>
          <w:szCs w:val="18"/>
        </w:rPr>
        <w:t xml:space="preserve"> — TIA</w:t>
      </w:r>
      <w:r>
        <w:rPr>
          <w:rStyle w:val="FootnoteReference"/>
        </w:rPr>
        <w:footnoteReference w:id="9"/>
      </w:r>
      <w:r>
        <w:rPr>
          <w:rFonts w:ascii="Calibri" w:cs="Calibri" w:eastAsia="Calibri" w:hAnsi="Calibri"/>
          <w:sz w:val="18"/>
          <w:szCs w:val="18"/>
        </w:rPr>
        <w:t xml:space="preserve"> — RNE</w:t>
      </w:r>
      <w:r>
        <w:rPr>
          <w:rStyle w:val="FootnoteReference"/>
        </w:rPr>
        <w:footnoteReference w:id="10"/>
      </w:r>
      <w:r>
        <w:rPr>
          <w:rFonts w:ascii="Calibri" w:cs="Calibri" w:eastAsia="Calibri" w:hAnsi="Calibri"/>
          <w:sz w:val="18"/>
          <w:szCs w:val="18"/>
        </w:rPr>
        <w:t xml:space="preserve"> — INNORPI</w:t>
      </w:r>
      <w:r>
        <w:rPr>
          <w:rStyle w:val="FootnoteReference"/>
        </w:rPr>
        <w:footnoteReference w:id="11"/>
      </w:r>
      <w:r>
        <w:rPr>
          <w:rFonts w:ascii="Calibri" w:cs="Calibri" w:eastAsia="Calibri" w:hAnsi="Calibri"/>
          <w:sz w:val="18"/>
          <w:szCs w:val="18"/>
        </w:rPr>
        <w:t xml:space="preserve"> — ONA</w:t>
      </w:r>
      <w:r>
        <w:rPr>
          <w:rStyle w:val="FootnoteReference"/>
        </w:rPr>
        <w:footnoteReference w:id="12"/>
      </w:r>
      <w:r>
        <w:rPr>
          <w:rFonts w:ascii="Calibri" w:cs="Calibri" w:eastAsia="Calibri" w:hAnsi="Calibri"/>
          <w:sz w:val="18"/>
          <w:szCs w:val="18"/>
        </w:rPr>
        <w:t xml:space="preserve">.</w:t>
      </w:r>
    </w:p>
    <w:p>
      <w:pPr>
        <w:pStyle w:val="Heading2"/>
        <w:spacing w:after="140" w:before="280"/>
      </w:pPr>
      <w:r>
        <w:rPr>
          <w:rFonts w:ascii="Calibri" w:cs="Calibri" w:eastAsia="Calibri" w:hAnsi="Calibri"/>
          <w:b/>
          <w:bCs/>
          <w:color w:val="1F3A68"/>
          <w:sz w:val="28"/>
          <w:szCs w:val="28"/>
        </w:rPr>
        <w:t xml:space="preserve">1.3 Les forces de contrôle économique</w:t>
      </w:r>
    </w:p>
    <w:p>
      <w:pPr>
        <w:spacing w:after="120" w:line="300"/>
        <w:jc w:val="both"/>
      </w:pPr>
      <w:r>
        <w:rPr>
          <w:rFonts w:ascii="Calibri" w:cs="Calibri" w:eastAsia="Calibri" w:hAnsi="Calibri"/>
          <w:sz w:val="22"/>
          <w:szCs w:val="22"/>
        </w:rPr>
        <w:t xml:space="preserve">Plusieurs corps de contrôle, relevant de ministères distincts, veillent à la régularité de l'activité économique :</w:t>
      </w:r>
    </w:p>
    <w:p>
      <w:pPr>
        <w:pStyle w:val="ListParagraph"/>
        <w:numPr>
          <w:ilvl w:val="0"/>
          <w:numId w:val="2"/>
        </w:numPr>
        <w:spacing w:after="80" w:line="300"/>
      </w:pPr>
      <w:r>
        <w:rPr>
          <w:rFonts w:ascii="Calibri" w:cs="Calibri" w:eastAsia="Calibri" w:hAnsi="Calibri"/>
          <w:b/>
          <w:bCs/>
          <w:sz w:val="22"/>
          <w:szCs w:val="22"/>
        </w:rPr>
        <w:t xml:space="preserve">Forces de sécurité intérieure : </w:t>
      </w:r>
      <w:r>
        <w:rPr>
          <w:rFonts w:ascii="Calibri" w:cs="Calibri" w:eastAsia="Calibri" w:hAnsi="Calibri"/>
          <w:sz w:val="22"/>
          <w:szCs w:val="22"/>
        </w:rPr>
        <w:t xml:space="preserve">Ministère de l'Intérieur.</w:t>
      </w:r>
    </w:p>
    <w:p>
      <w:pPr>
        <w:pStyle w:val="ListParagraph"/>
        <w:numPr>
          <w:ilvl w:val="0"/>
          <w:numId w:val="2"/>
        </w:numPr>
        <w:spacing w:after="80" w:line="300"/>
      </w:pPr>
      <w:r>
        <w:rPr>
          <w:rFonts w:ascii="Calibri" w:cs="Calibri" w:eastAsia="Calibri" w:hAnsi="Calibri"/>
          <w:b/>
          <w:bCs/>
          <w:sz w:val="22"/>
          <w:szCs w:val="22"/>
        </w:rPr>
        <w:t xml:space="preserve">Brigades du contrôle économique : </w:t>
      </w:r>
      <w:r>
        <w:rPr>
          <w:rFonts w:ascii="Calibri" w:cs="Calibri" w:eastAsia="Calibri" w:hAnsi="Calibri"/>
          <w:sz w:val="22"/>
          <w:szCs w:val="22"/>
        </w:rPr>
        <w:t xml:space="preserve">Ministère du Commerce.</w:t>
      </w:r>
    </w:p>
    <w:p>
      <w:pPr>
        <w:pStyle w:val="ListParagraph"/>
        <w:numPr>
          <w:ilvl w:val="0"/>
          <w:numId w:val="2"/>
        </w:numPr>
        <w:spacing w:after="80" w:line="300"/>
      </w:pPr>
      <w:r>
        <w:rPr>
          <w:rFonts w:ascii="Calibri" w:cs="Calibri" w:eastAsia="Calibri" w:hAnsi="Calibri"/>
          <w:b/>
          <w:bCs/>
          <w:sz w:val="22"/>
          <w:szCs w:val="22"/>
        </w:rPr>
        <w:t xml:space="preserve">Brigade de la Garde Douanière : </w:t>
      </w:r>
      <w:r>
        <w:rPr>
          <w:rFonts w:ascii="Calibri" w:cs="Calibri" w:eastAsia="Calibri" w:hAnsi="Calibri"/>
          <w:sz w:val="22"/>
          <w:szCs w:val="22"/>
        </w:rPr>
        <w:t xml:space="preserve">Ministère des Finances.</w:t>
      </w:r>
    </w:p>
    <w:p>
      <w:pPr>
        <w:spacing w:after="120" w:line="300"/>
        <w:jc w:val="both"/>
      </w:pPr>
      <w:r>
        <w:rPr>
          <w:rFonts w:ascii="Calibri" w:cs="Calibri" w:eastAsia="Calibri" w:hAnsi="Calibri"/>
          <w:sz w:val="22"/>
          <w:szCs w:val="22"/>
        </w:rPr>
        <w:t xml:space="preserve">Leur mission principale consiste à lutter contre la contrebande et le commerce parallèle sur l'ensemble du territoire national, et à veiller au respect des règles de concurrence, des prix et de la traçabilité des marchandises.</w:t>
      </w:r>
    </w:p>
    <w:p>
      <w:r>
        <w:br w:type="page"/>
      </w:r>
    </w:p>
    <w:p>
      <w:pPr>
        <w:pStyle w:val="Heading1"/>
        <w:spacing w:after="200" w:before="360"/>
      </w:pPr>
      <w:r>
        <w:rPr>
          <w:rFonts w:ascii="Calibri" w:cs="Calibri" w:eastAsia="Calibri" w:hAnsi="Calibri"/>
          <w:b/>
          <w:bCs/>
          <w:color w:val="1F3A68"/>
          <w:sz w:val="36"/>
          <w:szCs w:val="36"/>
        </w:rPr>
        <w:t xml:space="preserve">Partie 2 — Le contrôle fiscal (Recette des Finances)</w:t>
      </w:r>
    </w:p>
    <w:p>
      <w:pPr>
        <w:spacing w:after="120" w:line="300"/>
        <w:jc w:val="both"/>
      </w:pPr>
      <w:r>
        <w:rPr>
          <w:rFonts w:ascii="Calibri" w:cs="Calibri" w:eastAsia="Calibri" w:hAnsi="Calibri"/>
          <w:sz w:val="22"/>
          <w:szCs w:val="22"/>
        </w:rPr>
        <w:t xml:space="preserve">Le contrôle fiscal permet à l'administration de vérifier l'exactitude des informations transmises par les contribuables à travers leurs déclarations d'impôts. Cette procédure peut porter sur tous les types d'impôts. Le Code des Droits et Procédures Fiscaux (CDPF) tunisien encadre l'ensemble de ces opérations et distingue trois grands types de contrôle.</w:t>
      </w:r>
    </w:p>
    <w:p>
      <w:pPr>
        <w:pStyle w:val="Heading2"/>
        <w:spacing w:after="140" w:before="280"/>
      </w:pPr>
      <w:r>
        <w:rPr>
          <w:rFonts w:ascii="Calibri" w:cs="Calibri" w:eastAsia="Calibri" w:hAnsi="Calibri"/>
          <w:b/>
          <w:bCs/>
          <w:color w:val="1F3A68"/>
          <w:sz w:val="28"/>
          <w:szCs w:val="28"/>
        </w:rPr>
        <w:t xml:space="preserve">2.1 La vérification préliminaire</w:t>
      </w:r>
    </w:p>
    <w:p>
      <w:pPr>
        <w:spacing w:after="120" w:line="300"/>
        <w:jc w:val="both"/>
      </w:pPr>
      <w:r>
        <w:rPr>
          <w:rFonts w:ascii="Calibri" w:cs="Calibri" w:eastAsia="Calibri" w:hAnsi="Calibri"/>
          <w:sz w:val="22"/>
          <w:szCs w:val="22"/>
        </w:rPr>
        <w:t xml:space="preserve">Selon l'article 37 du CDPF, la vérification préliminaire n'est pas subordonnée à la notification d'un avis préalable au contribuable et ne fait pas obstacle à une vérification approfondie ultérieure de la situation fiscale. L'administration procède à la vérification des déclarations, actes et écrits déposés. En cas d'anomalies, elle peut demander des éclaircissements écrits.</w:t>
      </w:r>
      <w:r>
        <w:rPr>
          <w:rStyle w:val="FootnoteReference"/>
        </w:rPr>
        <w:footnoteReference w:id="13"/>
      </w:r>
    </w:p>
    <w:p>
      <w:pPr>
        <w:pStyle w:val="ListParagraph"/>
        <w:numPr>
          <w:ilvl w:val="0"/>
          <w:numId w:val="2"/>
        </w:numPr>
        <w:spacing w:after="80" w:line="300"/>
      </w:pPr>
      <w:r>
        <w:rPr>
          <w:rFonts w:ascii="Calibri" w:cs="Calibri" w:eastAsia="Calibri" w:hAnsi="Calibri"/>
          <w:sz w:val="22"/>
          <w:szCs w:val="22"/>
        </w:rPr>
        <w:t xml:space="preserve">La vérification est effectuée dans les locaux de l'administration fiscale (recette des finances).</w:t>
      </w:r>
    </w:p>
    <w:p>
      <w:pPr>
        <w:pStyle w:val="ListParagraph"/>
        <w:numPr>
          <w:ilvl w:val="0"/>
          <w:numId w:val="2"/>
        </w:numPr>
        <w:spacing w:after="80" w:line="300"/>
      </w:pPr>
      <w:r>
        <w:rPr>
          <w:rFonts w:ascii="Calibri" w:cs="Calibri" w:eastAsia="Calibri" w:hAnsi="Calibri"/>
          <w:sz w:val="22"/>
          <w:szCs w:val="22"/>
        </w:rPr>
        <w:t xml:space="preserve">Elle peut concerner tout impôt : IRPP, IS, TVA, droits d'enregistrement, droits de timbre.</w:t>
      </w:r>
    </w:p>
    <w:p>
      <w:pPr>
        <w:pStyle w:val="ListParagraph"/>
        <w:numPr>
          <w:ilvl w:val="0"/>
          <w:numId w:val="2"/>
        </w:numPr>
        <w:spacing w:after="80" w:line="300"/>
      </w:pPr>
      <w:r>
        <w:rPr>
          <w:rFonts w:ascii="Calibri" w:cs="Calibri" w:eastAsia="Calibri" w:hAnsi="Calibri"/>
          <w:sz w:val="22"/>
          <w:szCs w:val="22"/>
        </w:rPr>
        <w:t xml:space="preserve">Elle constitue souvent la première étape avant un contrôle plus approfondi.</w:t>
      </w:r>
    </w:p>
    <w:p>
      <w:pPr>
        <w:pStyle w:val="Heading2"/>
        <w:spacing w:after="140" w:before="280"/>
      </w:pPr>
      <w:r>
        <w:rPr>
          <w:rFonts w:ascii="Calibri" w:cs="Calibri" w:eastAsia="Calibri" w:hAnsi="Calibri"/>
          <w:b/>
          <w:bCs/>
          <w:color w:val="1F3A68"/>
          <w:sz w:val="28"/>
          <w:szCs w:val="28"/>
        </w:rPr>
        <w:t xml:space="preserve">2.2 La vérification fiscale limitée</w:t>
      </w:r>
    </w:p>
    <w:p>
      <w:pPr>
        <w:spacing w:after="120" w:line="300"/>
        <w:jc w:val="both"/>
      </w:pPr>
      <w:r>
        <w:rPr>
          <w:rFonts w:ascii="Calibri" w:cs="Calibri" w:eastAsia="Calibri" w:hAnsi="Calibri"/>
          <w:sz w:val="22"/>
          <w:szCs w:val="22"/>
        </w:rPr>
        <w:t xml:space="preserve">Introduit par la Loi de Finances 2022, ce mécanisme touche totalement ou partiellement la situation fiscale de toute personne imposable, pour une période ne dépassant pas une année. Ce type de révision se fait sur la base de règles simplifiées et de délais réduits, et vise à accélérer le traitement des dossiers.</w:t>
      </w:r>
    </w:p>
    <w:p>
      <w:pPr>
        <w:pStyle w:val="Heading2"/>
        <w:spacing w:after="140" w:before="280"/>
      </w:pPr>
      <w:r>
        <w:rPr>
          <w:rFonts w:ascii="Calibri" w:cs="Calibri" w:eastAsia="Calibri" w:hAnsi="Calibri"/>
          <w:b/>
          <w:bCs/>
          <w:color w:val="1F3A68"/>
          <w:sz w:val="28"/>
          <w:szCs w:val="28"/>
        </w:rPr>
        <w:t xml:space="preserve">2.3 La vérification approfondie de la situation fiscale</w:t>
      </w:r>
    </w:p>
    <w:p>
      <w:pPr>
        <w:spacing w:after="120" w:line="300"/>
        <w:jc w:val="both"/>
      </w:pPr>
      <w:r>
        <w:rPr>
          <w:rFonts w:ascii="Calibri" w:cs="Calibri" w:eastAsia="Calibri" w:hAnsi="Calibri"/>
          <w:sz w:val="22"/>
          <w:szCs w:val="22"/>
        </w:rPr>
        <w:t xml:space="preserve">Cette vérification concerne toute la situation fiscale ou une partie de celle-ci pendant :</w:t>
      </w:r>
    </w:p>
    <w:p>
      <w:pPr>
        <w:pStyle w:val="ListParagraph"/>
        <w:numPr>
          <w:ilvl w:val="0"/>
          <w:numId w:val="2"/>
        </w:numPr>
        <w:spacing w:after="80" w:line="300"/>
      </w:pPr>
      <w:r>
        <w:rPr>
          <w:rFonts w:ascii="Calibri" w:cs="Calibri" w:eastAsia="Calibri" w:hAnsi="Calibri"/>
          <w:sz w:val="22"/>
          <w:szCs w:val="22"/>
        </w:rPr>
        <w:t xml:space="preserve">4 ans en cas de déclaration de l'impôt ;</w:t>
      </w:r>
    </w:p>
    <w:p>
      <w:pPr>
        <w:pStyle w:val="ListParagraph"/>
        <w:numPr>
          <w:ilvl w:val="0"/>
          <w:numId w:val="2"/>
        </w:numPr>
        <w:spacing w:after="80" w:line="300"/>
      </w:pPr>
      <w:r>
        <w:rPr>
          <w:rFonts w:ascii="Calibri" w:cs="Calibri" w:eastAsia="Calibri" w:hAnsi="Calibri"/>
          <w:sz w:val="22"/>
          <w:szCs w:val="22"/>
        </w:rPr>
        <w:t xml:space="preserve">10 ans en matière de droits de timbre dans tous les cas, ou en cas de non-déclaration de l'impôt.</w:t>
      </w:r>
    </w:p>
    <w:p>
      <w:pPr>
        <w:spacing w:after="120" w:line="300"/>
        <w:jc w:val="both"/>
      </w:pPr>
      <w:r>
        <w:rPr>
          <w:rFonts w:ascii="Calibri" w:cs="Calibri" w:eastAsia="Calibri" w:hAnsi="Calibri"/>
          <w:sz w:val="22"/>
          <w:szCs w:val="22"/>
        </w:rPr>
        <w:t xml:space="preserve">Elle nécessite l'information préalable du contribuable, par notification, et se base principalement sur la comptabilité de l'entreprise. À l'issue, si des inexactitudes ou des insuffisances sont constatées, l'administration communique par écrit les redressements applicables.</w:t>
      </w:r>
    </w:p>
    <w:p>
      <w:pPr>
        <w:pStyle w:val="Heading2"/>
        <w:spacing w:after="140" w:before="280"/>
      </w:pPr>
      <w:r>
        <w:rPr>
          <w:rFonts w:ascii="Calibri" w:cs="Calibri" w:eastAsia="Calibri" w:hAnsi="Calibri"/>
          <w:b/>
          <w:bCs/>
          <w:color w:val="1F3A68"/>
          <w:sz w:val="28"/>
          <w:szCs w:val="28"/>
        </w:rPr>
        <w:t xml:space="preserve">2.4 La taxation d'office</w:t>
      </w:r>
    </w:p>
    <w:p>
      <w:pPr>
        <w:spacing w:after="120" w:line="300"/>
        <w:jc w:val="both"/>
      </w:pPr>
      <w:r>
        <w:rPr>
          <w:rFonts w:ascii="Calibri" w:cs="Calibri" w:eastAsia="Calibri" w:hAnsi="Calibri"/>
          <w:sz w:val="22"/>
          <w:szCs w:val="22"/>
        </w:rPr>
        <w:t xml:space="preserve">La taxation d'office constitue l'issue naturelle de la procédure de vérification fiscale lorsque le contribuable n'apporte pas de réponse satisfaisante ou ne produit pas les déclarations requises dans les délais légaux. Conformément au Code des Droits et Procédures Fiscaux, elle est établie en cas de désaccord entre l'administration et le contribuable sur les résultats de la vérification, ou en l'absence de réponse écrite dans les délais prescrits par les articles 44 et 44 bis du CDPF.</w:t>
      </w:r>
      <w:r>
        <w:rPr>
          <w:rStyle w:val="FootnoteReference"/>
        </w:rPr>
        <w:footnoteReference w:id="14"/>
      </w:r>
    </w:p>
    <w:p>
      <w:pPr>
        <w:spacing w:after="120" w:line="300"/>
        <w:jc w:val="both"/>
      </w:pPr>
      <w:r>
        <w:rPr>
          <w:rFonts w:ascii="Calibri" w:cs="Calibri" w:eastAsia="Calibri" w:hAnsi="Calibri"/>
          <w:sz w:val="22"/>
          <w:szCs w:val="22"/>
        </w:rPr>
        <w:t xml:space="preserve">L'opposition à l'arrêté de taxation d'office s'effectue dans un délai de 60 jours à compter de la date de notification de l'arrêté, devant le tribunal de première instance compétent. L'acceptation de l'opposition n'est plus conditionnée par le paiement de 20 % du montant de l'impôt en principal ni par la production d'une caution bancaire pour ce même montant.</w:t>
      </w:r>
      <w:r>
        <w:rPr>
          <w:rStyle w:val="FootnoteReference"/>
        </w:rPr>
        <w:footnoteReference w:id="15"/>
      </w:r>
    </w:p>
    <w:p>
      <w:r>
        <w:br w:type="page"/>
      </w:r>
    </w:p>
    <w:p>
      <w:pPr>
        <w:pStyle w:val="Heading1"/>
        <w:spacing w:after="200" w:before="360"/>
      </w:pPr>
      <w:r>
        <w:rPr>
          <w:rFonts w:ascii="Calibri" w:cs="Calibri" w:eastAsia="Calibri" w:hAnsi="Calibri"/>
          <w:b/>
          <w:bCs/>
          <w:color w:val="1F3A68"/>
          <w:sz w:val="36"/>
          <w:szCs w:val="36"/>
        </w:rPr>
        <w:t xml:space="preserve">Partie 3 — Les contrôles sociaux</w:t>
      </w:r>
    </w:p>
    <w:p>
      <w:pPr>
        <w:pStyle w:val="Heading2"/>
        <w:spacing w:after="140" w:before="280"/>
      </w:pPr>
      <w:r>
        <w:rPr>
          <w:rFonts w:ascii="Calibri" w:cs="Calibri" w:eastAsia="Calibri" w:hAnsi="Calibri"/>
          <w:b/>
          <w:bCs/>
          <w:color w:val="1F3A68"/>
          <w:sz w:val="28"/>
          <w:szCs w:val="28"/>
        </w:rPr>
        <w:t xml:space="preserve">3.1 La Caisse Nationale de Sécurité Sociale (CNSS)</w:t>
      </w:r>
    </w:p>
    <w:p>
      <w:pPr>
        <w:spacing w:after="120" w:line="300"/>
        <w:jc w:val="both"/>
      </w:pPr>
      <w:r>
        <w:rPr>
          <w:rFonts w:ascii="Calibri" w:cs="Calibri" w:eastAsia="Calibri" w:hAnsi="Calibri"/>
          <w:sz w:val="22"/>
          <w:szCs w:val="22"/>
        </w:rPr>
        <w:t xml:space="preserve">La CNSS supervise la bonne application de la législation de sécurité sociale en matière d'affiliation, d'immatriculation et de déclaration des salaires pour toutes les entreprises du secteur privé. L'affiliation des employeurs aux régimes de sécurité sociale est obligatoire et doit intervenir dans le mois qui suit l'engagement de personnel salarié. Le dossier d'affiliation peut être déposé au bureau régional compétent ou au guichet unique de l'APII.</w:t>
      </w:r>
      <w:r>
        <w:rPr>
          <w:rStyle w:val="FootnoteReference"/>
        </w:rPr>
        <w:footnoteReference w:id="16"/>
      </w:r>
    </w:p>
    <w:p>
      <w:pPr>
        <w:spacing w:after="120" w:line="300"/>
        <w:jc w:val="both"/>
      </w:pPr>
      <w:r>
        <w:rPr>
          <w:rFonts w:ascii="Calibri" w:cs="Calibri" w:eastAsia="Calibri" w:hAnsi="Calibri"/>
          <w:sz w:val="22"/>
          <w:szCs w:val="22"/>
        </w:rPr>
        <w:t xml:space="preserve">En cas d'abstention de l'employeur, la CNSS met l'entreprise en demeure et procède à son affiliation d'office. Le respect des délais d'affiliation évite le paiement des cotisations arriérées, des pénalités de retard et des dommages-intérêts.</w:t>
      </w:r>
    </w:p>
    <w:p>
      <w:pPr>
        <w:pStyle w:val="Heading3"/>
        <w:spacing w:after="100" w:before="220"/>
      </w:pPr>
      <w:r>
        <w:rPr>
          <w:rFonts w:ascii="Calibri" w:cs="Calibri" w:eastAsia="Calibri" w:hAnsi="Calibri"/>
          <w:b/>
          <w:bCs/>
          <w:color w:val="C0392B"/>
          <w:sz w:val="24"/>
          <w:szCs w:val="24"/>
        </w:rPr>
        <w:t xml:space="preserve">Le contrôle technique (sur place)</w:t>
      </w:r>
    </w:p>
    <w:p>
      <w:pPr>
        <w:spacing w:after="120" w:line="300"/>
        <w:jc w:val="both"/>
      </w:pPr>
      <w:r>
        <w:rPr>
          <w:rFonts w:ascii="Calibri" w:cs="Calibri" w:eastAsia="Calibri" w:hAnsi="Calibri"/>
          <w:sz w:val="22"/>
          <w:szCs w:val="22"/>
        </w:rPr>
        <w:t xml:space="preserve">Il peut intervenir à tout moment de la vie de l'entreprise. Il commence par le relevé du personnel et permet à l'agent de contrôle de prendre en considération l'ensemble des informations nécessaires : registres de paie, contrats de travail, déclarations trimestrielles, etc.</w:t>
      </w:r>
    </w:p>
    <w:p>
      <w:pPr>
        <w:pStyle w:val="Heading3"/>
        <w:spacing w:after="100" w:before="220"/>
      </w:pPr>
      <w:r>
        <w:rPr>
          <w:rFonts w:ascii="Calibri" w:cs="Calibri" w:eastAsia="Calibri" w:hAnsi="Calibri"/>
          <w:b/>
          <w:bCs/>
          <w:color w:val="C0392B"/>
          <w:sz w:val="24"/>
          <w:szCs w:val="24"/>
        </w:rPr>
        <w:t xml:space="preserve">Le contrôle comptable</w:t>
      </w:r>
    </w:p>
    <w:p>
      <w:pPr>
        <w:spacing w:after="120" w:line="300"/>
        <w:jc w:val="both"/>
      </w:pPr>
      <w:r>
        <w:rPr>
          <w:rFonts w:ascii="Calibri" w:cs="Calibri" w:eastAsia="Calibri" w:hAnsi="Calibri"/>
          <w:sz w:val="22"/>
          <w:szCs w:val="22"/>
        </w:rPr>
        <w:t xml:space="preserve">Cette vérification concerne toute la situation sociale pendant une période de 4 ans (limitée à 12 trimestres). Elle nécessite l'information préalable de l'entreprise et se base sur la comptabilité.</w:t>
      </w:r>
    </w:p>
    <w:p>
      <w:pPr>
        <w:spacing w:after="120" w:line="300"/>
        <w:jc w:val="both"/>
      </w:pPr>
      <w:r>
        <w:rPr>
          <w:rFonts w:ascii="Calibri" w:cs="Calibri" w:eastAsia="Calibri" w:hAnsi="Calibri"/>
          <w:sz w:val="22"/>
          <w:szCs w:val="22"/>
        </w:rPr>
        <w:t xml:space="preserve">À l'issue du contrôle, si des inexactitudes ou des insuffisances sont relevées, l'administration de la CNSS communique par écrit les redressements relatifs à la situation sociale du contribuable. La taxation d'office constitue l'issue naturelle de la procédure pour le montant des cotisations complémentaires à payer et les pénalités exigibles.</w:t>
      </w:r>
    </w:p>
    <w:p>
      <w:pPr>
        <w:pStyle w:val="Heading2"/>
        <w:spacing w:after="140" w:before="280"/>
      </w:pPr>
      <w:r>
        <w:rPr>
          <w:rFonts w:ascii="Calibri" w:cs="Calibri" w:eastAsia="Calibri" w:hAnsi="Calibri"/>
          <w:b/>
          <w:bCs/>
          <w:color w:val="1F3A68"/>
          <w:sz w:val="28"/>
          <w:szCs w:val="28"/>
        </w:rPr>
        <w:t xml:space="preserve">3.2 L'Agence Nationale pour l'Emploi et le Travail Indépendant (ANETI)</w:t>
      </w:r>
    </w:p>
    <w:p>
      <w:pPr>
        <w:spacing w:after="120" w:line="300"/>
        <w:jc w:val="both"/>
      </w:pPr>
      <w:r>
        <w:rPr>
          <w:rFonts w:ascii="Calibri" w:cs="Calibri" w:eastAsia="Calibri" w:hAnsi="Calibri"/>
          <w:sz w:val="22"/>
          <w:szCs w:val="22"/>
        </w:rPr>
        <w:t xml:space="preserve">L'ANETI supervise la bonne application de la législation relative à la promotion de l'emploi pour toutes les entreprises du secteur privé. Elle pilote notamment les dispositifs d'insertion professionnelle, dont le Contrat d'Initiation à la Vie Professionnelle (CIVP) qui prévoit, pour les nouvelles recrues, une indemnité minimale mensuelle de 200 DT (diplômés du supérieur ou BTS) ou 150 DT (autres niveaux), ainsi qu'une prise en charge de la contribution patronale CNSS pendant deux ans dans la limite de 600 DT/mois pour les recrutements en CDI à l'issue du stage.</w:t>
      </w:r>
      <w:r>
        <w:rPr>
          <w:rStyle w:val="FootnoteReference"/>
        </w:rPr>
        <w:footnoteReference w:id="17"/>
      </w:r>
    </w:p>
    <w:p>
      <w:pPr>
        <w:spacing w:after="120" w:line="300"/>
        <w:jc w:val="both"/>
      </w:pPr>
      <w:r>
        <w:rPr>
          <w:rFonts w:ascii="Calibri" w:cs="Calibri" w:eastAsia="Calibri" w:hAnsi="Calibri"/>
          <w:sz w:val="22"/>
          <w:szCs w:val="22"/>
        </w:rPr>
        <w:t xml:space="preserve">Le programme KARAMA et d'autres dispositifs complètent l'arsenal d'aide à l'emploi. L'ANETI peut prononcer une amende administrative en cas d'anomalies constatées.</w:t>
      </w:r>
    </w:p>
    <w:p>
      <w:pPr>
        <w:pStyle w:val="Heading2"/>
        <w:spacing w:after="140" w:before="280"/>
      </w:pPr>
      <w:r>
        <w:rPr>
          <w:rFonts w:ascii="Calibri" w:cs="Calibri" w:eastAsia="Calibri" w:hAnsi="Calibri"/>
          <w:b/>
          <w:bCs/>
          <w:color w:val="1F3A68"/>
          <w:sz w:val="28"/>
          <w:szCs w:val="28"/>
        </w:rPr>
        <w:t xml:space="preserve">3.3 L'Inspection du Travail</w:t>
      </w:r>
    </w:p>
    <w:p>
      <w:pPr>
        <w:spacing w:after="120" w:line="300"/>
        <w:jc w:val="both"/>
      </w:pPr>
      <w:r>
        <w:rPr>
          <w:rFonts w:ascii="Calibri" w:cs="Calibri" w:eastAsia="Calibri" w:hAnsi="Calibri"/>
          <w:sz w:val="22"/>
          <w:szCs w:val="22"/>
        </w:rPr>
        <w:t xml:space="preserve">L'inspection du travail est composée d'agents de contrôle qui se déplacent dans les entreprises ou sur les chantiers pour exercer leur mission de surveillance. Son cadre juridique est précisé par le Code du Travail tunisien.</w:t>
      </w:r>
      <w:r>
        <w:rPr>
          <w:rStyle w:val="FootnoteReference"/>
        </w:rPr>
        <w:footnoteReference w:id="18"/>
      </w:r>
    </w:p>
    <w:p>
      <w:pPr>
        <w:spacing w:after="120" w:line="300"/>
        <w:jc w:val="both"/>
      </w:pPr>
      <w:r>
        <w:rPr>
          <w:rFonts w:ascii="Calibri" w:cs="Calibri" w:eastAsia="Calibri" w:hAnsi="Calibri"/>
          <w:sz w:val="22"/>
          <w:szCs w:val="22"/>
        </w:rPr>
        <w:t xml:space="preserve">Elle fournit également des informations et des conseils aux employeurs et aux salariés sur les dispositions légales applicables. L'objectif est d'assurer la bonne application du Code du travail et des conventions collectives, et de garantir des conditions de travail et d'emploi convenables.</w:t>
      </w:r>
    </w:p>
    <w:p>
      <w:pPr>
        <w:spacing w:after="120" w:line="300"/>
        <w:jc w:val="both"/>
      </w:pPr>
      <w:r>
        <w:rPr>
          <w:rFonts w:ascii="Calibri" w:cs="Calibri" w:eastAsia="Calibri" w:hAnsi="Calibri"/>
          <w:sz w:val="22"/>
          <w:szCs w:val="22"/>
        </w:rPr>
        <w:t xml:space="preserve">Pour certains manquements (salaires, primes, congés, durée du travail, tenue de travail, obligations en matière de médecine du travail, installations sanitaires, etc.), l'inspection peut prononcer une amende administrative ou, dans les cas les plus graves, transmettre le dossier au parquet.</w:t>
      </w:r>
    </w:p>
    <w:p>
      <w:r>
        <w:br w:type="page"/>
      </w:r>
    </w:p>
    <w:p>
      <w:pPr>
        <w:pStyle w:val="Heading1"/>
        <w:spacing w:after="200" w:before="360"/>
      </w:pPr>
      <w:r>
        <w:rPr>
          <w:rFonts w:ascii="Calibri" w:cs="Calibri" w:eastAsia="Calibri" w:hAnsi="Calibri"/>
          <w:b/>
          <w:bCs/>
          <w:color w:val="1F3A68"/>
          <w:sz w:val="36"/>
          <w:szCs w:val="36"/>
        </w:rPr>
        <w:t xml:space="preserve">Partie 4 — Typologie des entreprises</w:t>
      </w:r>
    </w:p>
    <w:p>
      <w:pPr>
        <w:spacing w:after="120" w:line="300"/>
        <w:jc w:val="both"/>
      </w:pPr>
      <w:r>
        <w:rPr>
          <w:rFonts w:ascii="Calibri" w:cs="Calibri" w:eastAsia="Calibri" w:hAnsi="Calibri"/>
          <w:sz w:val="22"/>
          <w:szCs w:val="22"/>
        </w:rPr>
        <w:t xml:space="preserve">Le choix de la forme juridique conditionne le régime fiscal, le mode de gouvernance et la responsabilité du dirigeant. La législation tunisienne distingue principalement les entreprises individuelles (personnes physiques) et les sociétés (personnes morales).</w:t>
      </w:r>
    </w:p>
    <w:p>
      <w:pPr>
        <w:pStyle w:val="Heading2"/>
        <w:spacing w:after="140" w:before="280"/>
      </w:pPr>
      <w:r>
        <w:rPr>
          <w:rFonts w:ascii="Calibri" w:cs="Calibri" w:eastAsia="Calibri" w:hAnsi="Calibri"/>
          <w:b/>
          <w:bCs/>
          <w:color w:val="1F3A68"/>
          <w:sz w:val="28"/>
          <w:szCs w:val="28"/>
        </w:rPr>
        <w:t xml:space="preserve">4.1 Classification par activité</w:t>
      </w:r>
    </w:p>
    <w:p>
      <w:pPr>
        <w:spacing w:after="120" w:line="300"/>
        <w:jc w:val="both"/>
      </w:pPr>
      <w:r>
        <w:rPr>
          <w:rFonts w:ascii="Calibri" w:cs="Calibri" w:eastAsia="Calibri" w:hAnsi="Calibri"/>
          <w:sz w:val="22"/>
          <w:szCs w:val="22"/>
        </w:rPr>
        <w:t xml:space="preserve">Quel que soit le statut juridique, l'activité détermine la catégorie de bénéfice imposable :</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4819"/>
        <w:gridCol w:w="4819"/>
      </w:tblGrid>
      <w:tr>
        <w:trPr>
          <w:tblHeader/>
        </w:trPr>
        <w:tc>
          <w:tcPr>
            <w:tcW w:type="dxa" w:w="4819"/>
            <w:tcBorders>
              <w:top w:val="single" w:color="B0B0B0" w:sz="4"/>
              <w:left w:val="single" w:color="B0B0B0" w:sz="4"/>
              <w:bottom w:val="single" w:color="B0B0B0" w:sz="4"/>
              <w:right w:val="single" w:color="B0B0B0" w:sz="4"/>
            </w:tcBorders>
            <w:shd w:fill="1F3A68" w:color="auto" w:val="clear"/>
            <w:tcMar>
              <w:top w:type="dxa" w:w="80"/>
              <w:left w:type="dxa" w:w="120"/>
              <w:bottom w:type="dxa" w:w="80"/>
              <w:right w:type="dxa" w:w="120"/>
            </w:tcMar>
            <w:vAlign w:val="center"/>
          </w:tcPr>
          <w:p>
            <w:pPr>
              <w:spacing w:after="0" w:line="280"/>
              <w:jc w:val="center"/>
            </w:pPr>
            <w:r>
              <w:rPr>
                <w:rFonts w:ascii="Calibri" w:cs="Calibri" w:eastAsia="Calibri" w:hAnsi="Calibri"/>
                <w:b/>
                <w:bCs/>
                <w:color w:val="FFFFFF"/>
                <w:sz w:val="20"/>
                <w:szCs w:val="20"/>
              </w:rPr>
              <w:t xml:space="preserve">Catégorie de bénéfice</w:t>
            </w:r>
          </w:p>
        </w:tc>
        <w:tc>
          <w:tcPr>
            <w:tcW w:type="dxa" w:w="4819"/>
            <w:tcBorders>
              <w:top w:val="single" w:color="B0B0B0" w:sz="4"/>
              <w:left w:val="single" w:color="B0B0B0" w:sz="4"/>
              <w:bottom w:val="single" w:color="B0B0B0" w:sz="4"/>
              <w:right w:val="single" w:color="B0B0B0" w:sz="4"/>
            </w:tcBorders>
            <w:shd w:fill="1F3A68" w:color="auto" w:val="clear"/>
            <w:tcMar>
              <w:top w:type="dxa" w:w="80"/>
              <w:left w:type="dxa" w:w="120"/>
              <w:bottom w:type="dxa" w:w="80"/>
              <w:right w:type="dxa" w:w="120"/>
            </w:tcMar>
            <w:vAlign w:val="center"/>
          </w:tcPr>
          <w:p>
            <w:pPr>
              <w:spacing w:after="0" w:line="280"/>
              <w:jc w:val="center"/>
            </w:pPr>
            <w:r>
              <w:rPr>
                <w:rFonts w:ascii="Calibri" w:cs="Calibri" w:eastAsia="Calibri" w:hAnsi="Calibri"/>
                <w:b/>
                <w:bCs/>
                <w:color w:val="FFFFFF"/>
                <w:sz w:val="20"/>
                <w:szCs w:val="20"/>
              </w:rPr>
              <w:t xml:space="preserve">Types d'activités concernées</w:t>
            </w:r>
          </w:p>
        </w:tc>
      </w:tr>
      <w:tr>
        <w:tc>
          <w:tcPr>
            <w:tcW w:type="dxa" w:w="4819"/>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b/>
                <w:bCs/>
                <w:color w:val="1F3A68"/>
                <w:sz w:val="20"/>
                <w:szCs w:val="20"/>
              </w:rPr>
              <w:t xml:space="preserve">Bénéfices Industriels et Commerciaux (BIC)</w:t>
            </w:r>
          </w:p>
        </w:tc>
        <w:tc>
          <w:tcPr>
            <w:tcW w:type="dxa" w:w="4819"/>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sz w:val="20"/>
                <w:szCs w:val="20"/>
              </w:rPr>
              <w:t xml:space="preserve">Activités industrielle, artisanale, commerciale et de prestation de services</w:t>
            </w:r>
          </w:p>
        </w:tc>
      </w:tr>
      <w:tr>
        <w:tc>
          <w:tcPr>
            <w:tcW w:type="dxa" w:w="4819"/>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b/>
                <w:bCs/>
                <w:color w:val="1F3A68"/>
                <w:sz w:val="20"/>
                <w:szCs w:val="20"/>
              </w:rPr>
              <w:t xml:space="preserve">Bénéfices Non Commerciaux (BNC)</w:t>
            </w:r>
          </w:p>
        </w:tc>
        <w:tc>
          <w:tcPr>
            <w:tcW w:type="dxa" w:w="4819"/>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sz w:val="20"/>
                <w:szCs w:val="20"/>
              </w:rPr>
              <w:t xml:space="preserve">Professions libérales et autres activités diverses non commerciales</w:t>
            </w:r>
          </w:p>
        </w:tc>
      </w:tr>
      <w:tr>
        <w:tc>
          <w:tcPr>
            <w:tcW w:type="dxa" w:w="4819"/>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b/>
                <w:bCs/>
                <w:color w:val="1F3A68"/>
                <w:sz w:val="20"/>
                <w:szCs w:val="20"/>
              </w:rPr>
              <w:t xml:space="preserve">Bénéfices Agricoles (BA)</w:t>
            </w:r>
          </w:p>
        </w:tc>
        <w:tc>
          <w:tcPr>
            <w:tcW w:type="dxa" w:w="4819"/>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sz w:val="20"/>
                <w:szCs w:val="20"/>
              </w:rPr>
              <w:t xml:space="preserve">Activités agricoles</w:t>
            </w:r>
          </w:p>
        </w:tc>
      </w:tr>
    </w:tbl>
    <w:p>
      <w:pPr>
        <w:spacing w:after="200"/>
      </w:pPr>
      <w:r>
        <w:t xml:space="preserve"/>
      </w:r>
    </w:p>
    <w:p>
      <w:pPr>
        <w:pStyle w:val="Heading2"/>
        <w:spacing w:after="140" w:before="280"/>
      </w:pPr>
      <w:r>
        <w:rPr>
          <w:rFonts w:ascii="Calibri" w:cs="Calibri" w:eastAsia="Calibri" w:hAnsi="Calibri"/>
          <w:b/>
          <w:bCs/>
          <w:color w:val="1F3A68"/>
          <w:sz w:val="28"/>
          <w:szCs w:val="28"/>
        </w:rPr>
        <w:t xml:space="preserve">4.2 La personne physique</w:t>
      </w:r>
    </w:p>
    <w:p>
      <w:pPr>
        <w:pStyle w:val="Heading3"/>
        <w:spacing w:after="100" w:before="220"/>
      </w:pPr>
      <w:r>
        <w:rPr>
          <w:rFonts w:ascii="Calibri" w:cs="Calibri" w:eastAsia="Calibri" w:hAnsi="Calibri"/>
          <w:b/>
          <w:bCs/>
          <w:color w:val="C0392B"/>
          <w:sz w:val="24"/>
          <w:szCs w:val="24"/>
        </w:rPr>
        <w:t xml:space="preserve">L'Entreprise Individuelle</w:t>
      </w:r>
    </w:p>
    <w:p>
      <w:pPr>
        <w:spacing w:after="120" w:line="300"/>
        <w:jc w:val="both"/>
      </w:pPr>
      <w:r>
        <w:rPr>
          <w:rFonts w:ascii="Calibri" w:cs="Calibri" w:eastAsia="Calibri" w:hAnsi="Calibri"/>
          <w:sz w:val="22"/>
          <w:szCs w:val="22"/>
        </w:rPr>
        <w:t xml:space="preserve">Dans une entreprise individuelle, l'entrepreneur et l'entreprise forment une seule et même personne juridique. Il n'y a pas de séparation du patrimoine personnel et professionnel, ce qui implique une responsabilité illimitée sur les biens propres de l'entrepreneur.</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410"/>
        <w:gridCol w:w="2410"/>
        <w:gridCol w:w="2409"/>
        <w:gridCol w:w="2409"/>
      </w:tblGrid>
      <w:tr>
        <w:trPr>
          <w:tblHeader/>
        </w:trPr>
        <w:tc>
          <w:tcPr>
            <w:tcW w:type="dxa" w:w="2410"/>
            <w:tcBorders>
              <w:top w:val="single" w:color="B0B0B0" w:sz="4"/>
              <w:left w:val="single" w:color="B0B0B0" w:sz="4"/>
              <w:bottom w:val="single" w:color="B0B0B0" w:sz="4"/>
              <w:right w:val="single" w:color="B0B0B0" w:sz="4"/>
            </w:tcBorders>
            <w:shd w:fill="1F3A68" w:color="auto" w:val="clear"/>
            <w:tcMar>
              <w:top w:type="dxa" w:w="80"/>
              <w:left w:type="dxa" w:w="120"/>
              <w:bottom w:type="dxa" w:w="80"/>
              <w:right w:type="dxa" w:w="120"/>
            </w:tcMar>
            <w:vAlign w:val="center"/>
          </w:tcPr>
          <w:p>
            <w:pPr>
              <w:spacing w:after="0" w:line="280"/>
              <w:jc w:val="center"/>
            </w:pPr>
            <w:r>
              <w:rPr>
                <w:rFonts w:ascii="Calibri" w:cs="Calibri" w:eastAsia="Calibri" w:hAnsi="Calibri"/>
                <w:b/>
                <w:bCs/>
                <w:color w:val="FFFFFF"/>
                <w:sz w:val="20"/>
                <w:szCs w:val="20"/>
              </w:rPr>
              <w:t xml:space="preserve">Nature de l'Entreprise</w:t>
            </w:r>
          </w:p>
        </w:tc>
        <w:tc>
          <w:tcPr>
            <w:tcW w:type="dxa" w:w="2410"/>
            <w:tcBorders>
              <w:top w:val="single" w:color="B0B0B0" w:sz="4"/>
              <w:left w:val="single" w:color="B0B0B0" w:sz="4"/>
              <w:bottom w:val="single" w:color="B0B0B0" w:sz="4"/>
              <w:right w:val="single" w:color="B0B0B0" w:sz="4"/>
            </w:tcBorders>
            <w:shd w:fill="1F3A68" w:color="auto" w:val="clear"/>
            <w:tcMar>
              <w:top w:type="dxa" w:w="80"/>
              <w:left w:type="dxa" w:w="120"/>
              <w:bottom w:type="dxa" w:w="80"/>
              <w:right w:type="dxa" w:w="120"/>
            </w:tcMar>
            <w:vAlign w:val="center"/>
          </w:tcPr>
          <w:p>
            <w:pPr>
              <w:spacing w:after="0" w:line="280"/>
              <w:jc w:val="center"/>
            </w:pPr>
            <w:r>
              <w:rPr>
                <w:rFonts w:ascii="Calibri" w:cs="Calibri" w:eastAsia="Calibri" w:hAnsi="Calibri"/>
                <w:b/>
                <w:bCs/>
                <w:color w:val="FFFFFF"/>
                <w:sz w:val="20"/>
                <w:szCs w:val="20"/>
              </w:rPr>
              <w:t xml:space="preserve">Capital minimum</w:t>
            </w:r>
          </w:p>
        </w:tc>
        <w:tc>
          <w:tcPr>
            <w:tcW w:type="dxa" w:w="2409"/>
            <w:tcBorders>
              <w:top w:val="single" w:color="B0B0B0" w:sz="4"/>
              <w:left w:val="single" w:color="B0B0B0" w:sz="4"/>
              <w:bottom w:val="single" w:color="B0B0B0" w:sz="4"/>
              <w:right w:val="single" w:color="B0B0B0" w:sz="4"/>
            </w:tcBorders>
            <w:shd w:fill="1F3A68" w:color="auto" w:val="clear"/>
            <w:tcMar>
              <w:top w:type="dxa" w:w="80"/>
              <w:left w:type="dxa" w:w="120"/>
              <w:bottom w:type="dxa" w:w="80"/>
              <w:right w:type="dxa" w:w="120"/>
            </w:tcMar>
            <w:vAlign w:val="center"/>
          </w:tcPr>
          <w:p>
            <w:pPr>
              <w:spacing w:after="0" w:line="280"/>
              <w:jc w:val="center"/>
            </w:pPr>
            <w:r>
              <w:rPr>
                <w:rFonts w:ascii="Calibri" w:cs="Calibri" w:eastAsia="Calibri" w:hAnsi="Calibri"/>
                <w:b/>
                <w:bCs/>
                <w:color w:val="FFFFFF"/>
                <w:sz w:val="20"/>
                <w:szCs w:val="20"/>
              </w:rPr>
              <w:t xml:space="preserve">Nombre d'associés</w:t>
            </w:r>
          </w:p>
        </w:tc>
        <w:tc>
          <w:tcPr>
            <w:tcW w:type="dxa" w:w="2409"/>
            <w:tcBorders>
              <w:top w:val="single" w:color="B0B0B0" w:sz="4"/>
              <w:left w:val="single" w:color="B0B0B0" w:sz="4"/>
              <w:bottom w:val="single" w:color="B0B0B0" w:sz="4"/>
              <w:right w:val="single" w:color="B0B0B0" w:sz="4"/>
            </w:tcBorders>
            <w:shd w:fill="1F3A68" w:color="auto" w:val="clear"/>
            <w:tcMar>
              <w:top w:type="dxa" w:w="80"/>
              <w:left w:type="dxa" w:w="120"/>
              <w:bottom w:type="dxa" w:w="80"/>
              <w:right w:type="dxa" w:w="120"/>
            </w:tcMar>
            <w:vAlign w:val="center"/>
          </w:tcPr>
          <w:p>
            <w:pPr>
              <w:spacing w:after="0" w:line="280"/>
              <w:jc w:val="center"/>
            </w:pPr>
            <w:r>
              <w:rPr>
                <w:rFonts w:ascii="Calibri" w:cs="Calibri" w:eastAsia="Calibri" w:hAnsi="Calibri"/>
                <w:b/>
                <w:bCs/>
                <w:color w:val="FFFFFF"/>
                <w:sz w:val="20"/>
                <w:szCs w:val="20"/>
              </w:rPr>
              <w:t xml:space="preserve">Direction</w:t>
            </w:r>
          </w:p>
        </w:tc>
      </w:tr>
      <w:tr>
        <w:tc>
          <w:tcPr>
            <w:tcW w:type="dxa" w:w="2410"/>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b/>
                <w:bCs/>
                <w:sz w:val="20"/>
                <w:szCs w:val="20"/>
              </w:rPr>
              <w:t xml:space="preserve">Entreprise individuelle</w:t>
            </w:r>
          </w:p>
        </w:tc>
        <w:tc>
          <w:tcPr>
            <w:tcW w:type="dxa" w:w="2410"/>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sz w:val="20"/>
                <w:szCs w:val="20"/>
              </w:rPr>
              <w:t xml:space="preserve">Pas de notion de « capital social »</w:t>
            </w:r>
          </w:p>
        </w:tc>
        <w:tc>
          <w:tcPr>
            <w:tcW w:type="dxa" w:w="2409"/>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sz w:val="20"/>
                <w:szCs w:val="20"/>
              </w:rPr>
              <w:t xml:space="preserve">Entrepreneur individuel</w:t>
            </w:r>
          </w:p>
        </w:tc>
        <w:tc>
          <w:tcPr>
            <w:tcW w:type="dxa" w:w="2409"/>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sz w:val="20"/>
                <w:szCs w:val="20"/>
              </w:rPr>
              <w:t xml:space="preserve">Entrepreneur individuel</w:t>
            </w:r>
          </w:p>
        </w:tc>
      </w:tr>
    </w:tbl>
    <w:p>
      <w:pPr>
        <w:spacing w:after="200"/>
      </w:pPr>
      <w:r>
        <w:t xml:space="preserve"/>
      </w:r>
    </w:p>
    <w:p>
      <w:pPr>
        <w:pStyle w:val="Heading2"/>
        <w:spacing w:after="140" w:before="280"/>
      </w:pPr>
      <w:r>
        <w:rPr>
          <w:rFonts w:ascii="Calibri" w:cs="Calibri" w:eastAsia="Calibri" w:hAnsi="Calibri"/>
          <w:b/>
          <w:bCs/>
          <w:color w:val="1F3A68"/>
          <w:sz w:val="28"/>
          <w:szCs w:val="28"/>
        </w:rPr>
        <w:t xml:space="preserve">4.3 La personne morale</w:t>
      </w:r>
    </w:p>
    <w:p>
      <w:pPr>
        <w:spacing w:after="120" w:line="300"/>
        <w:jc w:val="both"/>
      </w:pPr>
      <w:r>
        <w:rPr>
          <w:rFonts w:ascii="Calibri" w:cs="Calibri" w:eastAsia="Calibri" w:hAnsi="Calibri"/>
          <w:sz w:val="22"/>
          <w:szCs w:val="22"/>
        </w:rPr>
        <w:t xml:space="preserve">Le droit commercial tunisien distingue deux grandes catégories de sociétés :</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4819"/>
        <w:gridCol w:w="4819"/>
      </w:tblGrid>
      <w:tr>
        <w:trPr>
          <w:tblHeader/>
        </w:trPr>
        <w:tc>
          <w:tcPr>
            <w:tcW w:type="dxa" w:w="4819"/>
            <w:tcBorders>
              <w:top w:val="single" w:color="B0B0B0" w:sz="4"/>
              <w:left w:val="single" w:color="B0B0B0" w:sz="4"/>
              <w:bottom w:val="single" w:color="B0B0B0" w:sz="4"/>
              <w:right w:val="single" w:color="B0B0B0" w:sz="4"/>
            </w:tcBorders>
            <w:shd w:fill="1F3A68" w:color="auto" w:val="clear"/>
            <w:tcMar>
              <w:top w:type="dxa" w:w="80"/>
              <w:left w:type="dxa" w:w="120"/>
              <w:bottom w:type="dxa" w:w="80"/>
              <w:right w:type="dxa" w:w="120"/>
            </w:tcMar>
            <w:vAlign w:val="center"/>
          </w:tcPr>
          <w:p>
            <w:pPr>
              <w:spacing w:after="0" w:line="280"/>
              <w:jc w:val="center"/>
            </w:pPr>
            <w:r>
              <w:rPr>
                <w:rFonts w:ascii="Calibri" w:cs="Calibri" w:eastAsia="Calibri" w:hAnsi="Calibri"/>
                <w:b/>
                <w:bCs/>
                <w:color w:val="FFFFFF"/>
                <w:sz w:val="20"/>
                <w:szCs w:val="20"/>
              </w:rPr>
              <w:t xml:space="preserve">Sociétés de capitaux</w:t>
            </w:r>
          </w:p>
        </w:tc>
        <w:tc>
          <w:tcPr>
            <w:tcW w:type="dxa" w:w="4819"/>
            <w:tcBorders>
              <w:top w:val="single" w:color="B0B0B0" w:sz="4"/>
              <w:left w:val="single" w:color="B0B0B0" w:sz="4"/>
              <w:bottom w:val="single" w:color="B0B0B0" w:sz="4"/>
              <w:right w:val="single" w:color="B0B0B0" w:sz="4"/>
            </w:tcBorders>
            <w:shd w:fill="1F3A68" w:color="auto" w:val="clear"/>
            <w:tcMar>
              <w:top w:type="dxa" w:w="80"/>
              <w:left w:type="dxa" w:w="120"/>
              <w:bottom w:type="dxa" w:w="80"/>
              <w:right w:type="dxa" w:w="120"/>
            </w:tcMar>
            <w:vAlign w:val="center"/>
          </w:tcPr>
          <w:p>
            <w:pPr>
              <w:spacing w:after="0" w:line="280"/>
              <w:jc w:val="center"/>
            </w:pPr>
            <w:r>
              <w:rPr>
                <w:rFonts w:ascii="Calibri" w:cs="Calibri" w:eastAsia="Calibri" w:hAnsi="Calibri"/>
                <w:b/>
                <w:bCs/>
                <w:color w:val="FFFFFF"/>
                <w:sz w:val="20"/>
                <w:szCs w:val="20"/>
              </w:rPr>
              <w:t xml:space="preserve">Sociétés de personnes</w:t>
            </w:r>
          </w:p>
        </w:tc>
      </w:tr>
      <w:tr>
        <w:tc>
          <w:tcPr>
            <w:tcW w:type="dxa" w:w="4819"/>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sz w:val="20"/>
                <w:szCs w:val="20"/>
              </w:rPr>
              <w:t xml:space="preserve">• SARL (Société à Responsabilité Limitée)</w:t>
            </w:r>
          </w:p>
          <w:p>
            <w:pPr>
              <w:spacing w:after="0" w:line="280"/>
              <w:jc w:val="left"/>
            </w:pPr>
            <w:r>
              <w:rPr>
                <w:rFonts w:ascii="Calibri" w:cs="Calibri" w:eastAsia="Calibri" w:hAnsi="Calibri"/>
                <w:sz w:val="20"/>
                <w:szCs w:val="20"/>
              </w:rPr>
              <w:t xml:space="preserve">• SUARL (Société Unipersonnelle à Responsabilité Limitée)</w:t>
            </w:r>
          </w:p>
          <w:p>
            <w:pPr>
              <w:spacing w:after="0" w:line="280"/>
              <w:jc w:val="left"/>
            </w:pPr>
            <w:r>
              <w:rPr>
                <w:rFonts w:ascii="Calibri" w:cs="Calibri" w:eastAsia="Calibri" w:hAnsi="Calibri"/>
                <w:sz w:val="20"/>
                <w:szCs w:val="20"/>
              </w:rPr>
              <w:t xml:space="preserve">• SA (Société Anonyme)</w:t>
            </w:r>
          </w:p>
          <w:p>
            <w:pPr>
              <w:spacing w:after="0" w:line="280"/>
              <w:jc w:val="left"/>
            </w:pPr>
            <w:r>
              <w:rPr>
                <w:rFonts w:ascii="Calibri" w:cs="Calibri" w:eastAsia="Calibri" w:hAnsi="Calibri"/>
                <w:sz w:val="20"/>
                <w:szCs w:val="20"/>
              </w:rPr>
              <w:t xml:space="preserve">• SCA (Société en Commandite par Actions)</w:t>
            </w:r>
          </w:p>
          <w:p>
            <w:pPr>
              <w:spacing w:after="0" w:line="280"/>
              <w:jc w:val="left"/>
            </w:pPr>
            <w:r>
              <w:rPr>
                <w:rFonts w:ascii="Calibri" w:cs="Calibri" w:eastAsia="Calibri" w:hAnsi="Calibri"/>
                <w:sz w:val="20"/>
                <w:szCs w:val="20"/>
              </w:rPr>
              <w:t xml:space="preserve">• Sociétés communautaires</w:t>
            </w:r>
          </w:p>
        </w:tc>
        <w:tc>
          <w:tcPr>
            <w:tcW w:type="dxa" w:w="4819"/>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sz w:val="20"/>
                <w:szCs w:val="20"/>
              </w:rPr>
              <w:t xml:space="preserve">• Société en Nom Collectif (SNC)</w:t>
            </w:r>
          </w:p>
          <w:p>
            <w:pPr>
              <w:spacing w:after="0" w:line="280"/>
              <w:jc w:val="left"/>
            </w:pPr>
            <w:r>
              <w:rPr>
                <w:rFonts w:ascii="Calibri" w:cs="Calibri" w:eastAsia="Calibri" w:hAnsi="Calibri"/>
                <w:sz w:val="20"/>
                <w:szCs w:val="20"/>
              </w:rPr>
              <w:t xml:space="preserve">• Société en Commandite Simple (SCS)</w:t>
            </w:r>
          </w:p>
          <w:p>
            <w:pPr>
              <w:spacing w:after="0" w:line="280"/>
              <w:jc w:val="left"/>
            </w:pPr>
            <w:r>
              <w:rPr>
                <w:rFonts w:ascii="Calibri" w:cs="Calibri" w:eastAsia="Calibri" w:hAnsi="Calibri"/>
                <w:sz w:val="20"/>
                <w:szCs w:val="20"/>
              </w:rPr>
              <w:t xml:space="preserve">• Société en Participation</w:t>
            </w:r>
          </w:p>
          <w:p>
            <w:pPr>
              <w:spacing w:after="0" w:line="280"/>
              <w:jc w:val="left"/>
            </w:pPr>
            <w:r>
              <w:rPr>
                <w:rFonts w:ascii="Calibri" w:cs="Calibri" w:eastAsia="Calibri" w:hAnsi="Calibri"/>
                <w:sz w:val="20"/>
                <w:szCs w:val="20"/>
              </w:rPr>
              <w:t xml:space="preserve">• Société Civile</w:t>
            </w:r>
          </w:p>
        </w:tc>
      </w:tr>
    </w:tbl>
    <w:p>
      <w:pPr>
        <w:spacing w:after="200"/>
      </w:pPr>
      <w:r>
        <w:t xml:space="preserve"/>
      </w:r>
    </w:p>
    <w:p>
      <w:pPr>
        <w:pStyle w:val="Heading3"/>
        <w:spacing w:after="100" w:before="220"/>
      </w:pPr>
      <w:r>
        <w:rPr>
          <w:rFonts w:ascii="Calibri" w:cs="Calibri" w:eastAsia="Calibri" w:hAnsi="Calibri"/>
          <w:b/>
          <w:bCs/>
          <w:color w:val="C0392B"/>
          <w:sz w:val="24"/>
          <w:szCs w:val="24"/>
        </w:rPr>
        <w:t xml:space="preserve">Sociétés à responsabilité limitée — caractéristiques principales</w:t>
      </w:r>
    </w:p>
    <w:p>
      <w:pPr>
        <w:spacing w:after="120" w:line="300"/>
        <w:jc w:val="both"/>
      </w:pPr>
      <w:r>
        <w:rPr>
          <w:rFonts w:ascii="Calibri" w:cs="Calibri" w:eastAsia="Calibri" w:hAnsi="Calibri"/>
          <w:sz w:val="22"/>
          <w:szCs w:val="22"/>
        </w:rPr>
        <w:t xml:space="preserve">La SARL constitue la forme la plus répandue pour les PME tunisiennes : sa responsabilité est limitée aux apports, et la part de l'associé n'est cessible qu'avec le consentement des autres associés. La SUARL, créée pour les entrepreneurs souhaitant exercer seuls sous forme de société, suit le même régime mais avec un associé unique. Dans les deux cas, le capital social minimum est fixé à 1 000 dinars tunisiens.</w:t>
      </w:r>
      <w:r>
        <w:rPr>
          <w:rStyle w:val="FootnoteReference"/>
        </w:rPr>
        <w:footnoteReference w:id="19"/>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410"/>
        <w:gridCol w:w="2410"/>
        <w:gridCol w:w="2409"/>
        <w:gridCol w:w="2409"/>
      </w:tblGrid>
      <w:tr>
        <w:trPr>
          <w:tblHeader/>
        </w:trPr>
        <w:tc>
          <w:tcPr>
            <w:tcW w:type="dxa" w:w="2410"/>
            <w:tcBorders>
              <w:top w:val="single" w:color="B0B0B0" w:sz="4"/>
              <w:left w:val="single" w:color="B0B0B0" w:sz="4"/>
              <w:bottom w:val="single" w:color="B0B0B0" w:sz="4"/>
              <w:right w:val="single" w:color="B0B0B0" w:sz="4"/>
            </w:tcBorders>
            <w:shd w:fill="1F3A68" w:color="auto" w:val="clear"/>
            <w:tcMar>
              <w:top w:type="dxa" w:w="80"/>
              <w:left w:type="dxa" w:w="120"/>
              <w:bottom w:type="dxa" w:w="80"/>
              <w:right w:type="dxa" w:w="120"/>
            </w:tcMar>
            <w:vAlign w:val="center"/>
          </w:tcPr>
          <w:p>
            <w:pPr>
              <w:spacing w:after="0" w:line="280"/>
              <w:jc w:val="center"/>
            </w:pPr>
            <w:r>
              <w:rPr>
                <w:rFonts w:ascii="Calibri" w:cs="Calibri" w:eastAsia="Calibri" w:hAnsi="Calibri"/>
                <w:b/>
                <w:bCs/>
                <w:color w:val="FFFFFF"/>
                <w:sz w:val="20"/>
                <w:szCs w:val="20"/>
              </w:rPr>
              <w:t xml:space="preserve">Nature de l'Entreprise</w:t>
            </w:r>
          </w:p>
        </w:tc>
        <w:tc>
          <w:tcPr>
            <w:tcW w:type="dxa" w:w="2410"/>
            <w:tcBorders>
              <w:top w:val="single" w:color="B0B0B0" w:sz="4"/>
              <w:left w:val="single" w:color="B0B0B0" w:sz="4"/>
              <w:bottom w:val="single" w:color="B0B0B0" w:sz="4"/>
              <w:right w:val="single" w:color="B0B0B0" w:sz="4"/>
            </w:tcBorders>
            <w:shd w:fill="1F3A68" w:color="auto" w:val="clear"/>
            <w:tcMar>
              <w:top w:type="dxa" w:w="80"/>
              <w:left w:type="dxa" w:w="120"/>
              <w:bottom w:type="dxa" w:w="80"/>
              <w:right w:type="dxa" w:w="120"/>
            </w:tcMar>
            <w:vAlign w:val="center"/>
          </w:tcPr>
          <w:p>
            <w:pPr>
              <w:spacing w:after="0" w:line="280"/>
              <w:jc w:val="center"/>
            </w:pPr>
            <w:r>
              <w:rPr>
                <w:rFonts w:ascii="Calibri" w:cs="Calibri" w:eastAsia="Calibri" w:hAnsi="Calibri"/>
                <w:b/>
                <w:bCs/>
                <w:color w:val="FFFFFF"/>
                <w:sz w:val="20"/>
                <w:szCs w:val="20"/>
              </w:rPr>
              <w:t xml:space="preserve">Capital minimum</w:t>
            </w:r>
          </w:p>
        </w:tc>
        <w:tc>
          <w:tcPr>
            <w:tcW w:type="dxa" w:w="2409"/>
            <w:tcBorders>
              <w:top w:val="single" w:color="B0B0B0" w:sz="4"/>
              <w:left w:val="single" w:color="B0B0B0" w:sz="4"/>
              <w:bottom w:val="single" w:color="B0B0B0" w:sz="4"/>
              <w:right w:val="single" w:color="B0B0B0" w:sz="4"/>
            </w:tcBorders>
            <w:shd w:fill="1F3A68" w:color="auto" w:val="clear"/>
            <w:tcMar>
              <w:top w:type="dxa" w:w="80"/>
              <w:left w:type="dxa" w:w="120"/>
              <w:bottom w:type="dxa" w:w="80"/>
              <w:right w:type="dxa" w:w="120"/>
            </w:tcMar>
            <w:vAlign w:val="center"/>
          </w:tcPr>
          <w:p>
            <w:pPr>
              <w:spacing w:after="0" w:line="280"/>
              <w:jc w:val="center"/>
            </w:pPr>
            <w:r>
              <w:rPr>
                <w:rFonts w:ascii="Calibri" w:cs="Calibri" w:eastAsia="Calibri" w:hAnsi="Calibri"/>
                <w:b/>
                <w:bCs/>
                <w:color w:val="FFFFFF"/>
                <w:sz w:val="20"/>
                <w:szCs w:val="20"/>
              </w:rPr>
              <w:t xml:space="preserve">Nombre d'associés</w:t>
            </w:r>
          </w:p>
        </w:tc>
        <w:tc>
          <w:tcPr>
            <w:tcW w:type="dxa" w:w="2409"/>
            <w:tcBorders>
              <w:top w:val="single" w:color="B0B0B0" w:sz="4"/>
              <w:left w:val="single" w:color="B0B0B0" w:sz="4"/>
              <w:bottom w:val="single" w:color="B0B0B0" w:sz="4"/>
              <w:right w:val="single" w:color="B0B0B0" w:sz="4"/>
            </w:tcBorders>
            <w:shd w:fill="1F3A68" w:color="auto" w:val="clear"/>
            <w:tcMar>
              <w:top w:type="dxa" w:w="80"/>
              <w:left w:type="dxa" w:w="120"/>
              <w:bottom w:type="dxa" w:w="80"/>
              <w:right w:type="dxa" w:w="120"/>
            </w:tcMar>
            <w:vAlign w:val="center"/>
          </w:tcPr>
          <w:p>
            <w:pPr>
              <w:spacing w:after="0" w:line="280"/>
              <w:jc w:val="center"/>
            </w:pPr>
            <w:r>
              <w:rPr>
                <w:rFonts w:ascii="Calibri" w:cs="Calibri" w:eastAsia="Calibri" w:hAnsi="Calibri"/>
                <w:b/>
                <w:bCs/>
                <w:color w:val="FFFFFF"/>
                <w:sz w:val="20"/>
                <w:szCs w:val="20"/>
              </w:rPr>
              <w:t xml:space="preserve">Direction</w:t>
            </w:r>
          </w:p>
        </w:tc>
      </w:tr>
      <w:tr>
        <w:tc>
          <w:tcPr>
            <w:tcW w:type="dxa" w:w="2410"/>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b/>
                <w:bCs/>
                <w:sz w:val="20"/>
                <w:szCs w:val="20"/>
              </w:rPr>
              <w:t xml:space="preserve">SARL</w:t>
            </w:r>
          </w:p>
        </w:tc>
        <w:tc>
          <w:tcPr>
            <w:tcW w:type="dxa" w:w="2410"/>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sz w:val="20"/>
                <w:szCs w:val="20"/>
              </w:rPr>
              <w:t xml:space="preserve">1 000 DT ou contre-valeur en devises</w:t>
            </w:r>
          </w:p>
        </w:tc>
        <w:tc>
          <w:tcPr>
            <w:tcW w:type="dxa" w:w="2409"/>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sz w:val="20"/>
                <w:szCs w:val="20"/>
              </w:rPr>
              <w:t xml:space="preserve">2 à 50 associés</w:t>
            </w:r>
          </w:p>
        </w:tc>
        <w:tc>
          <w:tcPr>
            <w:tcW w:type="dxa" w:w="2409"/>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sz w:val="20"/>
                <w:szCs w:val="20"/>
              </w:rPr>
              <w:t xml:space="preserve">Gérant(s) associé(s) ou non</w:t>
            </w:r>
          </w:p>
        </w:tc>
      </w:tr>
      <w:tr>
        <w:tc>
          <w:tcPr>
            <w:tcW w:type="dxa" w:w="2410"/>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b/>
                <w:bCs/>
                <w:sz w:val="20"/>
                <w:szCs w:val="20"/>
              </w:rPr>
              <w:t xml:space="preserve">SUARL</w:t>
            </w:r>
          </w:p>
        </w:tc>
        <w:tc>
          <w:tcPr>
            <w:tcW w:type="dxa" w:w="2410"/>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sz w:val="20"/>
                <w:szCs w:val="20"/>
              </w:rPr>
              <w:t xml:space="preserve">1 000 DT ou contre-valeur en devises</w:t>
            </w:r>
          </w:p>
        </w:tc>
        <w:tc>
          <w:tcPr>
            <w:tcW w:type="dxa" w:w="2409"/>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sz w:val="20"/>
                <w:szCs w:val="20"/>
              </w:rPr>
              <w:t xml:space="preserve">Une seule personne</w:t>
            </w:r>
          </w:p>
        </w:tc>
        <w:tc>
          <w:tcPr>
            <w:tcW w:type="dxa" w:w="2409"/>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sz w:val="20"/>
                <w:szCs w:val="20"/>
              </w:rPr>
              <w:t xml:space="preserve">Gérant(s) associé(s) ou non</w:t>
            </w:r>
          </w:p>
        </w:tc>
      </w:tr>
    </w:tbl>
    <w:p>
      <w:pPr>
        <w:spacing w:after="80"/>
      </w:pPr>
      <w:r>
        <w:t xml:space="preserve"/>
      </w:r>
    </w:p>
    <w:p>
      <w:pPr>
        <w:spacing w:after="120" w:line="300"/>
        <w:jc w:val="both"/>
      </w:pPr>
      <w:r>
        <w:rPr>
          <w:rFonts w:ascii="Calibri" w:cs="Calibri" w:eastAsia="Calibri" w:hAnsi="Calibri"/>
          <w:i/>
          <w:iCs/>
          <w:color w:val="4A4A4A"/>
          <w:sz w:val="18"/>
          <w:szCs w:val="18"/>
        </w:rPr>
        <w:t xml:space="preserve">Source : </w:t>
      </w:r>
      <w:r>
        <w:rPr>
          <w:rFonts w:ascii="Calibri" w:cs="Calibri" w:eastAsia="Calibri" w:hAnsi="Calibri"/>
          <w:sz w:val="18"/>
          <w:szCs w:val="18"/>
        </w:rPr>
        <w:t xml:space="preserve">guides pratiques SARL/SUARL en Tunisie</w:t>
      </w:r>
      <w:r>
        <w:rPr>
          <w:rStyle w:val="FootnoteReference"/>
        </w:rPr>
        <w:footnoteReference w:id="20"/>
      </w:r>
      <w:r>
        <w:rPr>
          <w:rFonts w:ascii="Calibri" w:cs="Calibri" w:eastAsia="Calibri" w:hAnsi="Calibri"/>
          <w:sz w:val="18"/>
          <w:szCs w:val="18"/>
        </w:rPr>
        <w:t xml:space="preserve">.</w:t>
      </w:r>
    </w:p>
    <w:p>
      <w:r>
        <w:br w:type="page"/>
      </w:r>
    </w:p>
    <w:p>
      <w:pPr>
        <w:pStyle w:val="Heading1"/>
        <w:spacing w:after="200" w:before="360"/>
      </w:pPr>
      <w:r>
        <w:rPr>
          <w:rFonts w:ascii="Calibri" w:cs="Calibri" w:eastAsia="Calibri" w:hAnsi="Calibri"/>
          <w:b/>
          <w:bCs/>
          <w:color w:val="1F3A68"/>
          <w:sz w:val="36"/>
          <w:szCs w:val="36"/>
        </w:rPr>
        <w:t xml:space="preserve">Partie 5 — Les régimes fiscaux de la personne physique</w:t>
      </w:r>
    </w:p>
    <w:p>
      <w:pPr>
        <w:spacing w:after="120" w:line="300"/>
        <w:jc w:val="both"/>
      </w:pPr>
      <w:r>
        <w:rPr>
          <w:rFonts w:ascii="Calibri" w:cs="Calibri" w:eastAsia="Calibri" w:hAnsi="Calibri"/>
          <w:sz w:val="22"/>
          <w:szCs w:val="22"/>
        </w:rPr>
        <w:t xml:space="preserve">Le législateur tunisien propose quatre régimes fiscaux pour les personnes physiques exerçant une activité économique. Le choix dépend du chiffre d'affaires, de la nature de l'activité et de la décision du contribuable.</w:t>
      </w:r>
    </w:p>
    <w:p>
      <w:pPr>
        <w:pStyle w:val="Heading2"/>
        <w:spacing w:after="140" w:before="280"/>
      </w:pPr>
      <w:r>
        <w:rPr>
          <w:rFonts w:ascii="Calibri" w:cs="Calibri" w:eastAsia="Calibri" w:hAnsi="Calibri"/>
          <w:b/>
          <w:bCs/>
          <w:color w:val="1F3A68"/>
          <w:sz w:val="28"/>
          <w:szCs w:val="28"/>
        </w:rPr>
        <w:t xml:space="preserve">5.1 Comparatif synthétique des régimes</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4819"/>
        <w:gridCol w:w="4819"/>
      </w:tblGrid>
      <w:tr>
        <w:trPr>
          <w:tblHeader/>
        </w:trPr>
        <w:tc>
          <w:tcPr>
            <w:tcW w:type="dxa" w:w="4819"/>
            <w:tcBorders>
              <w:top w:val="single" w:color="B0B0B0" w:sz="4"/>
              <w:left w:val="single" w:color="B0B0B0" w:sz="4"/>
              <w:bottom w:val="single" w:color="B0B0B0" w:sz="4"/>
              <w:right w:val="single" w:color="B0B0B0" w:sz="4"/>
            </w:tcBorders>
            <w:shd w:fill="1F3A68" w:color="auto" w:val="clear"/>
            <w:tcMar>
              <w:top w:type="dxa" w:w="80"/>
              <w:left w:type="dxa" w:w="120"/>
              <w:bottom w:type="dxa" w:w="80"/>
              <w:right w:type="dxa" w:w="120"/>
            </w:tcMar>
            <w:vAlign w:val="center"/>
          </w:tcPr>
          <w:p>
            <w:pPr>
              <w:spacing w:after="0" w:line="280"/>
              <w:jc w:val="center"/>
            </w:pPr>
            <w:r>
              <w:rPr>
                <w:rFonts w:ascii="Calibri" w:cs="Calibri" w:eastAsia="Calibri" w:hAnsi="Calibri"/>
                <w:b/>
                <w:bCs/>
                <w:color w:val="FFFFFF"/>
                <w:sz w:val="20"/>
                <w:szCs w:val="20"/>
              </w:rPr>
              <w:t xml:space="preserve">Régime Forfaitaire</w:t>
            </w:r>
          </w:p>
        </w:tc>
        <w:tc>
          <w:tcPr>
            <w:tcW w:type="dxa" w:w="4819"/>
            <w:tcBorders>
              <w:top w:val="single" w:color="B0B0B0" w:sz="4"/>
              <w:left w:val="single" w:color="B0B0B0" w:sz="4"/>
              <w:bottom w:val="single" w:color="B0B0B0" w:sz="4"/>
              <w:right w:val="single" w:color="B0B0B0" w:sz="4"/>
            </w:tcBorders>
            <w:shd w:fill="1F3A68" w:color="auto" w:val="clear"/>
            <w:tcMar>
              <w:top w:type="dxa" w:w="80"/>
              <w:left w:type="dxa" w:w="120"/>
              <w:bottom w:type="dxa" w:w="80"/>
              <w:right w:type="dxa" w:w="120"/>
            </w:tcMar>
            <w:vAlign w:val="center"/>
          </w:tcPr>
          <w:p>
            <w:pPr>
              <w:spacing w:after="0" w:line="280"/>
              <w:jc w:val="center"/>
            </w:pPr>
            <w:r>
              <w:rPr>
                <w:rFonts w:ascii="Calibri" w:cs="Calibri" w:eastAsia="Calibri" w:hAnsi="Calibri"/>
                <w:b/>
                <w:bCs/>
                <w:color w:val="FFFFFF"/>
                <w:sz w:val="20"/>
                <w:szCs w:val="20"/>
              </w:rPr>
              <w:t xml:space="preserve">Régime du forfait d'assiette</w:t>
            </w:r>
          </w:p>
        </w:tc>
      </w:tr>
      <w:tr>
        <w:tc>
          <w:tcPr>
            <w:tcW w:type="dxa" w:w="4819"/>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sz w:val="20"/>
                <w:szCs w:val="20"/>
              </w:rPr>
              <w:t xml:space="preserve">Non soumis à la comptabilité : registre coté et paraphé par les services fiscaux (Produits – Charges)</w:t>
            </w:r>
          </w:p>
        </w:tc>
        <w:tc>
          <w:tcPr>
            <w:tcW w:type="dxa" w:w="4819"/>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sz w:val="20"/>
                <w:szCs w:val="20"/>
              </w:rPr>
              <w:t xml:space="preserve">Non soumis à la comptabilité</w:t>
            </w:r>
          </w:p>
        </w:tc>
      </w:tr>
      <w:tr>
        <w:tc>
          <w:tcPr>
            <w:tcW w:type="dxa" w:w="4819"/>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sz w:val="20"/>
                <w:szCs w:val="20"/>
              </w:rPr>
              <w:t xml:space="preserve">Chiffre d'affaires de 0 à 100 000 DT</w:t>
            </w:r>
          </w:p>
        </w:tc>
        <w:tc>
          <w:tcPr>
            <w:tcW w:type="dxa" w:w="4819"/>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sz w:val="20"/>
                <w:szCs w:val="20"/>
              </w:rPr>
              <w:t xml:space="preserve">Pas de limite de chiffre d'affaires</w:t>
            </w:r>
          </w:p>
        </w:tc>
      </w:tr>
      <w:tr>
        <w:tc>
          <w:tcPr>
            <w:tcW w:type="dxa" w:w="4819"/>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sz w:val="20"/>
                <w:szCs w:val="20"/>
              </w:rPr>
              <w:t xml:space="preserve">Forfait d'impôt de 0 à 10 000 DT : paiement de 400 DT / 200 DT hors zone de collectivité locale</w:t>
            </w:r>
          </w:p>
        </w:tc>
        <w:tc>
          <w:tcPr>
            <w:tcW w:type="dxa" w:w="4819"/>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sz w:val="20"/>
                <w:szCs w:val="20"/>
              </w:rPr>
              <w:t xml:space="preserve">Bénéfices non commerciaux</w:t>
            </w:r>
          </w:p>
        </w:tc>
      </w:tr>
      <w:tr>
        <w:tc>
          <w:tcPr>
            <w:tcW w:type="dxa" w:w="4819"/>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sz w:val="20"/>
                <w:szCs w:val="20"/>
              </w:rPr>
              <w:t xml:space="preserve">Forfait d'impôt : CA + 10 000 DT → 400 DT (1ère tranche) et le reste du CA × 3 % jusqu'à 100 000 DT</w:t>
            </w:r>
          </w:p>
        </w:tc>
        <w:tc>
          <w:tcPr>
            <w:tcW w:type="dxa" w:w="4819"/>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sz w:val="20"/>
                <w:szCs w:val="20"/>
              </w:rPr>
              <w:t xml:space="preserve">Base IRPP : 80 % du chiffre d'affaires TTC (encaissé)</w:t>
            </w:r>
          </w:p>
        </w:tc>
      </w:tr>
      <w:tr>
        <w:tc>
          <w:tcPr>
            <w:tcW w:type="dxa" w:w="4819"/>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sz w:val="20"/>
                <w:szCs w:val="20"/>
              </w:rPr>
              <w:t xml:space="preserve">Renouvelable chaque fois pour une période de 6 ans (selon l'éligibilité au régime forfaitaire)</w:t>
            </w:r>
          </w:p>
        </w:tc>
        <w:tc>
          <w:tcPr>
            <w:tcW w:type="dxa" w:w="4819"/>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sz w:val="20"/>
                <w:szCs w:val="20"/>
              </w:rPr>
              <w:t xml:space="preserve">Selon le barème IRPP</w:t>
            </w:r>
          </w:p>
        </w:tc>
      </w:tr>
      <w:tr>
        <w:trPr>
          <w:tblHeader/>
        </w:trPr>
        <w:tc>
          <w:tcPr>
            <w:tcW w:type="dxa" w:w="4819"/>
            <w:tcBorders>
              <w:top w:val="single" w:color="B0B0B0" w:sz="4"/>
              <w:left w:val="single" w:color="B0B0B0" w:sz="4"/>
              <w:bottom w:val="single" w:color="B0B0B0" w:sz="4"/>
              <w:right w:val="single" w:color="B0B0B0" w:sz="4"/>
            </w:tcBorders>
            <w:shd w:fill="1F3A68" w:color="auto" w:val="clear"/>
            <w:tcMar>
              <w:top w:type="dxa" w:w="80"/>
              <w:left w:type="dxa" w:w="120"/>
              <w:bottom w:type="dxa" w:w="80"/>
              <w:right w:type="dxa" w:w="120"/>
            </w:tcMar>
            <w:vAlign w:val="center"/>
          </w:tcPr>
          <w:p>
            <w:pPr>
              <w:spacing w:after="0" w:line="280"/>
              <w:jc w:val="center"/>
            </w:pPr>
            <w:r>
              <w:rPr>
                <w:rFonts w:ascii="Calibri" w:cs="Calibri" w:eastAsia="Calibri" w:hAnsi="Calibri"/>
                <w:b/>
                <w:bCs/>
                <w:color w:val="FFFFFF"/>
                <w:sz w:val="20"/>
                <w:szCs w:val="20"/>
              </w:rPr>
              <w:t xml:space="preserve">Régime réel simplifié</w:t>
            </w:r>
          </w:p>
        </w:tc>
        <w:tc>
          <w:tcPr>
            <w:tcW w:type="dxa" w:w="4819"/>
            <w:tcBorders>
              <w:top w:val="single" w:color="B0B0B0" w:sz="4"/>
              <w:left w:val="single" w:color="B0B0B0" w:sz="4"/>
              <w:bottom w:val="single" w:color="B0B0B0" w:sz="4"/>
              <w:right w:val="single" w:color="B0B0B0" w:sz="4"/>
            </w:tcBorders>
            <w:shd w:fill="1F3A68" w:color="auto" w:val="clear"/>
            <w:tcMar>
              <w:top w:type="dxa" w:w="80"/>
              <w:left w:type="dxa" w:w="120"/>
              <w:bottom w:type="dxa" w:w="80"/>
              <w:right w:type="dxa" w:w="120"/>
            </w:tcMar>
            <w:vAlign w:val="center"/>
          </w:tcPr>
          <w:p>
            <w:pPr>
              <w:spacing w:after="0" w:line="280"/>
              <w:jc w:val="center"/>
            </w:pPr>
            <w:r>
              <w:rPr>
                <w:rFonts w:ascii="Calibri" w:cs="Calibri" w:eastAsia="Calibri" w:hAnsi="Calibri"/>
                <w:b/>
                <w:bCs/>
                <w:color w:val="FFFFFF"/>
                <w:sz w:val="20"/>
                <w:szCs w:val="20"/>
              </w:rPr>
              <w:t xml:space="preserve">Régime réel</w:t>
            </w:r>
          </w:p>
        </w:tc>
      </w:tr>
      <w:tr>
        <w:tc>
          <w:tcPr>
            <w:tcW w:type="dxa" w:w="4819"/>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sz w:val="20"/>
                <w:szCs w:val="20"/>
              </w:rPr>
              <w:t xml:space="preserve">Soumis à la comptabilité simplifiée (norme comptable n°42)</w:t>
            </w:r>
          </w:p>
        </w:tc>
        <w:tc>
          <w:tcPr>
            <w:tcW w:type="dxa" w:w="4819"/>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sz w:val="20"/>
                <w:szCs w:val="20"/>
              </w:rPr>
              <w:t xml:space="preserve">Soumis à la comptabilité : tenue comptable complète</w:t>
            </w:r>
          </w:p>
        </w:tc>
      </w:tr>
      <w:tr>
        <w:tc>
          <w:tcPr>
            <w:tcW w:type="dxa" w:w="4819"/>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sz w:val="20"/>
                <w:szCs w:val="20"/>
              </w:rPr>
              <w:t xml:space="preserve">Registre coté et paraphé par les services fiscaux : Produits – Charges – Inventaire – Bilan</w:t>
            </w:r>
          </w:p>
        </w:tc>
        <w:tc>
          <w:tcPr>
            <w:tcW w:type="dxa" w:w="4819"/>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sz w:val="20"/>
                <w:szCs w:val="20"/>
              </w:rPr>
              <w:t xml:space="preserve">Pas de limite de chiffre d'affaires</w:t>
            </w:r>
          </w:p>
        </w:tc>
      </w:tr>
      <w:tr>
        <w:tc>
          <w:tcPr>
            <w:tcW w:type="dxa" w:w="4819"/>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sz w:val="20"/>
                <w:szCs w:val="20"/>
              </w:rPr>
              <w:t xml:space="preserve">CA de 0 à 300 000 DT — Bénéfices Industriels et Commerciaux (BIC)</w:t>
            </w:r>
          </w:p>
        </w:tc>
        <w:tc>
          <w:tcPr>
            <w:tcW w:type="dxa" w:w="4819"/>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sz w:val="20"/>
                <w:szCs w:val="20"/>
              </w:rPr>
              <w:t xml:space="preserve">Bénéfices Industriels et Commerciaux (BIC)</w:t>
            </w:r>
          </w:p>
        </w:tc>
      </w:tr>
      <w:tr>
        <w:tc>
          <w:tcPr>
            <w:tcW w:type="dxa" w:w="4819"/>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sz w:val="20"/>
                <w:szCs w:val="20"/>
              </w:rPr>
              <w:t xml:space="preserve">CA de 0 à 150 000 DT — Bénéfices Non Commerciaux (BNC), et entreprises sorties de l'ancien régime forfaitaire au 01/01/2023</w:t>
            </w:r>
          </w:p>
        </w:tc>
        <w:tc>
          <w:tcPr>
            <w:tcW w:type="dxa" w:w="4819"/>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sz w:val="20"/>
                <w:szCs w:val="20"/>
              </w:rPr>
              <w:t xml:space="preserve">Bénéfices Non Commerciaux (BNC)</w:t>
            </w:r>
          </w:p>
        </w:tc>
      </w:tr>
      <w:tr>
        <w:tc>
          <w:tcPr>
            <w:tcW w:type="dxa" w:w="4819"/>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sz w:val="20"/>
                <w:szCs w:val="20"/>
              </w:rPr>
              <w:t xml:space="preserve">Selon le barème IRPP</w:t>
            </w:r>
          </w:p>
        </w:tc>
        <w:tc>
          <w:tcPr>
            <w:tcW w:type="dxa" w:w="4819"/>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sz w:val="20"/>
                <w:szCs w:val="20"/>
              </w:rPr>
              <w:t xml:space="preserve">Selon le barème IRPP</w:t>
            </w:r>
          </w:p>
        </w:tc>
      </w:tr>
    </w:tbl>
    <w:p>
      <w:pPr>
        <w:spacing w:after="240"/>
      </w:pPr>
      <w:r>
        <w:t xml:space="preserve"/>
      </w:r>
    </w:p>
    <w:p>
      <w:pPr>
        <w:pStyle w:val="Heading2"/>
        <w:spacing w:after="140" w:before="280"/>
      </w:pPr>
      <w:r>
        <w:rPr>
          <w:rFonts w:ascii="Calibri" w:cs="Calibri" w:eastAsia="Calibri" w:hAnsi="Calibri"/>
          <w:b/>
          <w:bCs/>
          <w:color w:val="1F3A68"/>
          <w:sz w:val="28"/>
          <w:szCs w:val="28"/>
        </w:rPr>
        <w:t xml:space="preserve">5.2 Régime forfaitaire optionnel — Loi de Finances 2026</w:t>
      </w:r>
    </w:p>
    <w:p>
      <w:pPr>
        <w:spacing w:after="120" w:line="300"/>
        <w:jc w:val="both"/>
      </w:pPr>
      <w:r>
        <w:rPr>
          <w:rFonts w:ascii="Calibri" w:cs="Calibri" w:eastAsia="Calibri" w:hAnsi="Calibri"/>
          <w:sz w:val="22"/>
          <w:szCs w:val="22"/>
        </w:rPr>
        <w:t xml:space="preserve">La Loi de Finances 2026 réintroduit un régime forfaitaire optionnel encadré, après plusieurs années de basculement forcé de petits opérateurs vers le régime réel. Ce dispositif vise à simplifier la fiscalité des très petites entreprises tout en maintenant un contrôle strict pour éviter les abus et les distorsions de concurrence. Certains secteurs (fixés par décret n° 2022-802) restent explicitement exclus du régime forfaitaire.</w:t>
      </w:r>
      <w:r>
        <w:rPr>
          <w:rStyle w:val="FootnoteReference"/>
        </w:rPr>
        <w:footnoteReference w:id="21"/>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500"/>
        <w:gridCol w:w="6138"/>
      </w:tblGrid>
      <w:tr>
        <w:trPr>
          <w:tblHeader/>
        </w:trPr>
        <w:tc>
          <w:tcPr>
            <w:tcW w:type="dxa" w:w="3500"/>
            <w:tcBorders>
              <w:top w:val="single" w:color="B0B0B0" w:sz="4"/>
              <w:left w:val="single" w:color="B0B0B0" w:sz="4"/>
              <w:bottom w:val="single" w:color="B0B0B0" w:sz="4"/>
              <w:right w:val="single" w:color="B0B0B0" w:sz="4"/>
            </w:tcBorders>
            <w:shd w:fill="1F3A68" w:color="auto" w:val="clear"/>
            <w:tcMar>
              <w:top w:type="dxa" w:w="80"/>
              <w:left w:type="dxa" w:w="120"/>
              <w:bottom w:type="dxa" w:w="80"/>
              <w:right w:type="dxa" w:w="120"/>
            </w:tcMar>
            <w:vAlign w:val="center"/>
          </w:tcPr>
          <w:p>
            <w:pPr>
              <w:spacing w:after="0" w:line="280"/>
              <w:jc w:val="center"/>
            </w:pPr>
            <w:r>
              <w:rPr>
                <w:rFonts w:ascii="Calibri" w:cs="Calibri" w:eastAsia="Calibri" w:hAnsi="Calibri"/>
                <w:b/>
                <w:bCs/>
                <w:color w:val="FFFFFF"/>
                <w:sz w:val="20"/>
                <w:szCs w:val="20"/>
              </w:rPr>
              <w:t xml:space="preserve">Caractéristique</w:t>
            </w:r>
          </w:p>
        </w:tc>
        <w:tc>
          <w:tcPr>
            <w:tcW w:type="dxa" w:w="6138"/>
            <w:tcBorders>
              <w:top w:val="single" w:color="B0B0B0" w:sz="4"/>
              <w:left w:val="single" w:color="B0B0B0" w:sz="4"/>
              <w:bottom w:val="single" w:color="B0B0B0" w:sz="4"/>
              <w:right w:val="single" w:color="B0B0B0" w:sz="4"/>
            </w:tcBorders>
            <w:shd w:fill="1F3A68" w:color="auto" w:val="clear"/>
            <w:tcMar>
              <w:top w:type="dxa" w:w="80"/>
              <w:left w:type="dxa" w:w="120"/>
              <w:bottom w:type="dxa" w:w="80"/>
              <w:right w:type="dxa" w:w="120"/>
            </w:tcMar>
            <w:vAlign w:val="center"/>
          </w:tcPr>
          <w:p>
            <w:pPr>
              <w:spacing w:after="0" w:line="280"/>
              <w:jc w:val="center"/>
            </w:pPr>
            <w:r>
              <w:rPr>
                <w:rFonts w:ascii="Calibri" w:cs="Calibri" w:eastAsia="Calibri" w:hAnsi="Calibri"/>
                <w:b/>
                <w:bCs/>
                <w:color w:val="FFFFFF"/>
                <w:sz w:val="20"/>
                <w:szCs w:val="20"/>
              </w:rPr>
              <w:t xml:space="preserve">Détails et conditions</w:t>
            </w:r>
          </w:p>
        </w:tc>
      </w:tr>
      <w:tr>
        <w:tc>
          <w:tcPr>
            <w:tcW w:type="dxa" w:w="3500"/>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b/>
                <w:bCs/>
                <w:sz w:val="20"/>
                <w:szCs w:val="20"/>
              </w:rPr>
              <w:t xml:space="preserve">Seuil de Chiffre d'Affaires</w:t>
            </w:r>
          </w:p>
        </w:tc>
        <w:tc>
          <w:tcPr>
            <w:tcW w:type="dxa" w:w="6138"/>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sz w:val="20"/>
                <w:szCs w:val="20"/>
              </w:rPr>
              <w:t xml:space="preserve">Inférieur ou égal à 100 000 DT par an</w:t>
            </w:r>
          </w:p>
        </w:tc>
      </w:tr>
      <w:tr>
        <w:tc>
          <w:tcPr>
            <w:tcW w:type="dxa" w:w="3500"/>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b/>
                <w:bCs/>
                <w:sz w:val="20"/>
                <w:szCs w:val="20"/>
              </w:rPr>
              <w:t xml:space="preserve">Bénéficiaires</w:t>
            </w:r>
          </w:p>
        </w:tc>
        <w:tc>
          <w:tcPr>
            <w:tcW w:type="dxa" w:w="6138"/>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sz w:val="20"/>
                <w:szCs w:val="20"/>
              </w:rPr>
              <w:t xml:space="preserve">Personnes physiques (BIC) exploitant un local unique</w:t>
            </w:r>
          </w:p>
        </w:tc>
      </w:tr>
      <w:tr>
        <w:tc>
          <w:tcPr>
            <w:tcW w:type="dxa" w:w="3500"/>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b/>
                <w:bCs/>
                <w:sz w:val="20"/>
                <w:szCs w:val="20"/>
              </w:rPr>
              <w:t xml:space="preserve">Activités exclues</w:t>
            </w:r>
          </w:p>
        </w:tc>
        <w:tc>
          <w:tcPr>
            <w:tcW w:type="dxa" w:w="6138"/>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sz w:val="20"/>
                <w:szCs w:val="20"/>
              </w:rPr>
              <w:t xml:space="preserve">Décret n° 2022-802 portant fixation de la liste des activités exercées par les entreprises exclues du régime forfaitaire</w:t>
            </w:r>
          </w:p>
        </w:tc>
      </w:tr>
      <w:tr>
        <w:tc>
          <w:tcPr>
            <w:tcW w:type="dxa" w:w="3500"/>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b/>
                <w:bCs/>
                <w:color w:val="C0392B"/>
                <w:sz w:val="20"/>
                <w:szCs w:val="20"/>
              </w:rPr>
              <w:t xml:space="preserve">Impôt (CA &lt; 50 000 DT)</w:t>
            </w:r>
          </w:p>
        </w:tc>
        <w:tc>
          <w:tcPr>
            <w:tcW w:type="dxa" w:w="6138"/>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b/>
                <w:bCs/>
                <w:sz w:val="20"/>
                <w:szCs w:val="20"/>
              </w:rPr>
              <w:t xml:space="preserve">4 000 DT par an</w:t>
            </w:r>
          </w:p>
        </w:tc>
      </w:tr>
      <w:tr>
        <w:tc>
          <w:tcPr>
            <w:tcW w:type="dxa" w:w="3500"/>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b/>
                <w:bCs/>
                <w:color w:val="C0392B"/>
                <w:sz w:val="20"/>
                <w:szCs w:val="20"/>
              </w:rPr>
              <w:t xml:space="preserve">Impôt (50 000 – 100 000 DT)</w:t>
            </w:r>
          </w:p>
        </w:tc>
        <w:tc>
          <w:tcPr>
            <w:tcW w:type="dxa" w:w="6138"/>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b/>
                <w:bCs/>
                <w:sz w:val="20"/>
                <w:szCs w:val="20"/>
              </w:rPr>
              <w:t xml:space="preserve">5 000 DT par an</w:t>
            </w:r>
          </w:p>
        </w:tc>
      </w:tr>
      <w:tr>
        <w:tc>
          <w:tcPr>
            <w:tcW w:type="dxa" w:w="3500"/>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b/>
                <w:bCs/>
                <w:sz w:val="20"/>
                <w:szCs w:val="20"/>
              </w:rPr>
              <w:t xml:space="preserve">Réduction Zone Rurale</w:t>
            </w:r>
          </w:p>
        </w:tc>
        <w:tc>
          <w:tcPr>
            <w:tcW w:type="dxa" w:w="6138"/>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b/>
                <w:bCs/>
                <w:color w:val="C0392B"/>
                <w:sz w:val="20"/>
                <w:szCs w:val="20"/>
              </w:rPr>
              <w:t xml:space="preserve">−50 % sur les montants forfaitaires ci-dessus</w:t>
            </w:r>
          </w:p>
        </w:tc>
      </w:tr>
    </w:tbl>
    <w:p>
      <w:pPr>
        <w:spacing w:after="240"/>
      </w:pPr>
      <w:r>
        <w:t xml:space="preserve"/>
      </w:r>
    </w:p>
    <w:p>
      <w:pPr>
        <w:pStyle w:val="Heading2"/>
        <w:spacing w:after="140" w:before="280"/>
      </w:pPr>
      <w:r>
        <w:rPr>
          <w:rFonts w:ascii="Calibri" w:cs="Calibri" w:eastAsia="Calibri" w:hAnsi="Calibri"/>
          <w:b/>
          <w:bCs/>
          <w:color w:val="1F3A68"/>
          <w:sz w:val="28"/>
          <w:szCs w:val="28"/>
        </w:rPr>
        <w:t xml:space="preserve">5.3 Le statut d'Auto-Entrepreneur</w:t>
      </w:r>
    </w:p>
    <w:p>
      <w:pPr>
        <w:spacing w:after="120" w:line="300"/>
        <w:jc w:val="both"/>
      </w:pPr>
      <w:r>
        <w:rPr>
          <w:rFonts w:ascii="Calibri" w:cs="Calibri" w:eastAsia="Calibri" w:hAnsi="Calibri"/>
          <w:sz w:val="22"/>
          <w:szCs w:val="22"/>
        </w:rPr>
        <w:t xml:space="preserve">Le statut d'auto-entrepreneur (المبادر الذاتي) a été institué par l'ordonnance du Chef du Gouvernement n°33 du 10 juin 2020 (JORT n°54). Il offre un régime simplifié de l'entreprise individuelle, avec des démarches administratives, fiscales et sociales allégées, accessibles via la plateforme www.autoentrepreneur.tn.</w:t>
      </w:r>
      <w:r>
        <w:rPr>
          <w:rStyle w:val="FootnoteReference"/>
        </w:rPr>
        <w:footnoteReference w:id="22"/>
      </w:r>
    </w:p>
    <w:p>
      <w:pPr>
        <w:spacing w:after="120" w:line="300"/>
        <w:jc w:val="both"/>
      </w:pPr>
      <w:r>
        <w:rPr>
          <w:rFonts w:ascii="Calibri" w:cs="Calibri" w:eastAsia="Calibri" w:hAnsi="Calibri"/>
          <w:sz w:val="22"/>
          <w:szCs w:val="22"/>
        </w:rPr>
        <w:t xml:space="preserve">Le régime cible les entrepreneurs exerçant individuellement dans les secteurs de l'industrie, de l'artisanat, du commerce, des services et de l'agriculture, sous réserve de la liste des activités autorisées.</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1F3A68" w:sz="8"/>
              <w:left w:val="single" w:color="1F3A68" w:sz="18"/>
              <w:bottom w:val="single" w:color="1F3A68" w:sz="8"/>
              <w:right w:val="single" w:color="1F3A68" w:sz="8"/>
            </w:tcBorders>
            <w:shd w:fill="F4F8FC" w:color="auto" w:val="clear"/>
            <w:tcMar>
              <w:top w:type="dxa" w:w="160"/>
              <w:left w:type="dxa" w:w="220"/>
              <w:bottom w:type="dxa" w:w="160"/>
              <w:right w:type="dxa" w:w="200"/>
            </w:tcMar>
          </w:tcPr>
          <w:p>
            <w:pPr>
              <w:spacing w:after="80"/>
            </w:pPr>
            <w:r>
              <w:rPr>
                <w:rFonts w:ascii="Calibri" w:cs="Calibri" w:eastAsia="Calibri" w:hAnsi="Calibri"/>
                <w:b/>
                <w:bCs/>
                <w:color w:val="1F3A68"/>
                <w:sz w:val="22"/>
                <w:szCs w:val="22"/>
              </w:rPr>
              <w:t xml:space="preserve">Caractéristiques principales du statut</w:t>
            </w:r>
          </w:p>
          <w:p>
            <w:pPr>
              <w:spacing w:after="60" w:line="280"/>
            </w:pPr>
            <w:r>
              <w:rPr>
                <w:rFonts w:ascii="Calibri" w:cs="Calibri" w:eastAsia="Calibri" w:hAnsi="Calibri"/>
                <w:color w:val="4A4A4A"/>
                <w:sz w:val="20"/>
                <w:szCs w:val="20"/>
              </w:rPr>
              <w:t xml:space="preserve">• Une contribution unique annuelle libérant l'auto-entrepreneur de l'IRPP, de la TVA et des cotisations au régime de sécurité sociale.</w:t>
            </w:r>
          </w:p>
          <w:p>
            <w:pPr>
              <w:spacing w:after="60" w:line="280"/>
            </w:pPr>
            <w:r>
              <w:rPr>
                <w:rFonts w:ascii="Calibri" w:cs="Calibri" w:eastAsia="Calibri" w:hAnsi="Calibri"/>
                <w:color w:val="4A4A4A"/>
                <w:sz w:val="20"/>
                <w:szCs w:val="20"/>
              </w:rPr>
              <w:t xml:space="preserve">• Paiement de 200 DT par an (ou 100 DT hors zone de collectivité locale).</w:t>
            </w:r>
          </w:p>
          <w:p>
            <w:pPr>
              <w:spacing w:after="60" w:line="280"/>
            </w:pPr>
            <w:r>
              <w:rPr>
                <w:rFonts w:ascii="Calibri" w:cs="Calibri" w:eastAsia="Calibri" w:hAnsi="Calibri"/>
                <w:color w:val="4A4A4A"/>
                <w:sz w:val="20"/>
                <w:szCs w:val="20"/>
              </w:rPr>
              <w:t xml:space="preserve">• Non requise au titre de la 1ère année si le Fonds national de l'emploi prend en charge les cotisations sociales.</w:t>
            </w:r>
          </w:p>
          <w:p>
            <w:pPr>
              <w:spacing w:after="60" w:line="280"/>
            </w:pPr>
            <w:r>
              <w:rPr>
                <w:rFonts w:ascii="Calibri" w:cs="Calibri" w:eastAsia="Calibri" w:hAnsi="Calibri"/>
                <w:color w:val="4A4A4A"/>
                <w:sz w:val="20"/>
                <w:szCs w:val="20"/>
              </w:rPr>
              <w:t xml:space="preserve">• Conditions d'éligibilité : exercer individuellement, respecter la liste des activités autorisées, ne pas avoir de numéro d'identification fiscal antérieur, plafond de CA de 75 000 DT par an.</w:t>
            </w:r>
          </w:p>
          <w:p>
            <w:pPr>
              <w:spacing w:after="60" w:line="280"/>
            </w:pPr>
            <w:r>
              <w:rPr>
                <w:rFonts w:ascii="Calibri" w:cs="Calibri" w:eastAsia="Calibri" w:hAnsi="Calibri"/>
                <w:color w:val="4A4A4A"/>
                <w:sz w:val="20"/>
                <w:szCs w:val="20"/>
              </w:rPr>
              <w:t xml:space="preserve">• Durée du statut : 4 ans, renouvelable une fois pour 3 années supplémentaires sur demande.</w:t>
            </w:r>
          </w:p>
          <w:p>
            <w:pPr>
              <w:spacing w:after="60" w:line="280"/>
            </w:pPr>
            <w:r>
              <w:rPr>
                <w:rFonts w:ascii="Calibri" w:cs="Calibri" w:eastAsia="Calibri" w:hAnsi="Calibri"/>
                <w:color w:val="4A4A4A"/>
                <w:sz w:val="20"/>
                <w:szCs w:val="20"/>
              </w:rPr>
              <w:t xml:space="preserve">• Exonération du dépôt des déclarations fiscales et de la retenue à la source (article 52 du Code IRPP/IS).</w:t>
            </w:r>
          </w:p>
          <w:p>
            <w:pPr>
              <w:spacing w:after="60" w:line="280"/>
            </w:pPr>
            <w:r>
              <w:rPr>
                <w:rFonts w:ascii="Calibri" w:cs="Calibri" w:eastAsia="Calibri" w:hAnsi="Calibri"/>
                <w:color w:val="4A4A4A"/>
                <w:sz w:val="20"/>
                <w:szCs w:val="20"/>
              </w:rPr>
              <w:t xml:space="preserve">• Inscription électronique avec la plateforme E-Houiya — délivrance de la carte sous 15 jours, valable 3 ans.</w:t>
            </w:r>
          </w:p>
          <w:p>
            <w:pPr>
              <w:spacing w:after="60" w:line="280"/>
            </w:pPr>
            <w:r>
              <w:rPr>
                <w:rFonts w:ascii="Calibri" w:cs="Calibri" w:eastAsia="Calibri" w:hAnsi="Calibri"/>
                <w:color w:val="4A4A4A"/>
                <w:sz w:val="20"/>
                <w:szCs w:val="20"/>
              </w:rPr>
              <w:t xml:space="preserve">• Obligation comptable : tenue d'un registre achats/ventes et conservation des factures pendant 10 ans.</w:t>
            </w:r>
          </w:p>
        </w:tc>
      </w:tr>
    </w:tbl>
    <w:p>
      <w:pPr>
        <w:spacing w:after="120"/>
      </w:pPr>
      <w:r>
        <w:t xml:space="preserve"/>
      </w:r>
    </w:p>
    <w:p>
      <w:pPr>
        <w:spacing w:after="120" w:line="300"/>
        <w:jc w:val="both"/>
      </w:pPr>
      <w:r>
        <w:rPr>
          <w:rFonts w:ascii="Calibri" w:cs="Calibri" w:eastAsia="Calibri" w:hAnsi="Calibri"/>
          <w:sz w:val="22"/>
          <w:szCs w:val="22"/>
        </w:rPr>
        <w:t xml:space="preserve">La radiation peut intervenir en cas de dépassement du plafond, de changement de forme juridique, d'exercice d'une activité non autorisée, de non-paiement pendant 4 trimestres consécutifs ou de fausse déclaration.</w:t>
      </w:r>
    </w:p>
    <w:p>
      <w:r>
        <w:br w:type="page"/>
      </w:r>
    </w:p>
    <w:p>
      <w:pPr>
        <w:pStyle w:val="Heading1"/>
        <w:spacing w:after="200" w:before="360"/>
      </w:pPr>
      <w:r>
        <w:rPr>
          <w:rFonts w:ascii="Calibri" w:cs="Calibri" w:eastAsia="Calibri" w:hAnsi="Calibri"/>
          <w:b/>
          <w:bCs/>
          <w:color w:val="1F3A68"/>
          <w:sz w:val="36"/>
          <w:szCs w:val="36"/>
        </w:rPr>
        <w:t xml:space="preserve">Partie 6 — Barème IRPP et Contribution Sociale de Solidarité</w:t>
      </w:r>
    </w:p>
    <w:p>
      <w:pPr>
        <w:spacing w:after="120" w:line="300"/>
        <w:jc w:val="both"/>
      </w:pPr>
      <w:r>
        <w:rPr>
          <w:rFonts w:ascii="Calibri" w:cs="Calibri" w:eastAsia="Calibri" w:hAnsi="Calibri"/>
          <w:sz w:val="22"/>
          <w:szCs w:val="22"/>
        </w:rPr>
        <w:t xml:space="preserve">L'Impôt sur le Revenu des Personnes Physiques (IRPP) est un impôt progressif, calculé par tranches. Le barème en vigueur (Loi de Finances 2025, maintenu en 2026) compte huit tranches allant de 0 % à 40 %, avec un seuil non imposable fixé à 5 000 DT. Le mode de calcul est progressif : chaque portion du revenu est taxée au taux correspondant à son niveau, et non l'intégralité du revenu au taux marginal.</w:t>
      </w:r>
      <w:r>
        <w:rPr>
          <w:rStyle w:val="FootnoteReference"/>
        </w:rPr>
        <w:footnoteReference w:id="23"/>
      </w:r>
    </w:p>
    <w:p>
      <w:pPr>
        <w:pStyle w:val="Heading2"/>
        <w:spacing w:after="140" w:before="280"/>
      </w:pPr>
      <w:r>
        <w:rPr>
          <w:rFonts w:ascii="Calibri" w:cs="Calibri" w:eastAsia="Calibri" w:hAnsi="Calibri"/>
          <w:b/>
          <w:bCs/>
          <w:color w:val="1F3A68"/>
          <w:sz w:val="28"/>
          <w:szCs w:val="28"/>
        </w:rPr>
        <w:t xml:space="preserve">6.1 Barème IRPP — Loi de Finances 2025 (en vigueur en 2026)</w:t>
      </w:r>
    </w:p>
    <w:p>
      <w:pPr>
        <w:spacing w:after="120" w:line="300"/>
        <w:jc w:val="both"/>
      </w:pPr>
      <w:r>
        <w:rPr>
          <w:rFonts w:ascii="Calibri" w:cs="Calibri" w:eastAsia="Calibri" w:hAnsi="Calibri"/>
          <w:sz w:val="22"/>
          <w:szCs w:val="22"/>
        </w:rPr>
        <w:t xml:space="preserve">Exemple appliqué à un revenu imposable de 100 000 DT :</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928"/>
        <w:gridCol w:w="2410"/>
        <w:gridCol w:w="2410"/>
        <w:gridCol w:w="1445"/>
        <w:gridCol w:w="1445"/>
      </w:tblGrid>
      <w:tr>
        <w:trPr>
          <w:tblHeader/>
        </w:trPr>
        <w:tc>
          <w:tcPr>
            <w:tcW w:type="dxa" w:w="1928"/>
            <w:tcBorders>
              <w:top w:val="single" w:color="B0B0B0" w:sz="4"/>
              <w:left w:val="single" w:color="B0B0B0" w:sz="4"/>
              <w:bottom w:val="single" w:color="B0B0B0" w:sz="4"/>
              <w:right w:val="single" w:color="B0B0B0" w:sz="4"/>
            </w:tcBorders>
            <w:shd w:fill="1F3A68" w:color="auto" w:val="clear"/>
            <w:tcMar>
              <w:top w:type="dxa" w:w="80"/>
              <w:left w:type="dxa" w:w="120"/>
              <w:bottom w:type="dxa" w:w="80"/>
              <w:right w:type="dxa" w:w="120"/>
            </w:tcMar>
            <w:vAlign w:val="center"/>
          </w:tcPr>
          <w:p>
            <w:pPr>
              <w:spacing w:after="0" w:line="280"/>
              <w:jc w:val="center"/>
            </w:pPr>
            <w:r>
              <w:rPr>
                <w:rFonts w:ascii="Calibri" w:cs="Calibri" w:eastAsia="Calibri" w:hAnsi="Calibri"/>
                <w:b/>
                <w:bCs/>
                <w:color w:val="FFFFFF"/>
                <w:sz w:val="20"/>
                <w:szCs w:val="20"/>
              </w:rPr>
              <w:t xml:space="preserve">Tranche</w:t>
            </w:r>
          </w:p>
        </w:tc>
        <w:tc>
          <w:tcPr>
            <w:tcW w:type="dxa" w:w="2410"/>
            <w:tcBorders>
              <w:top w:val="single" w:color="B0B0B0" w:sz="4"/>
              <w:left w:val="single" w:color="B0B0B0" w:sz="4"/>
              <w:bottom w:val="single" w:color="B0B0B0" w:sz="4"/>
              <w:right w:val="single" w:color="B0B0B0" w:sz="4"/>
            </w:tcBorders>
            <w:shd w:fill="1F3A68" w:color="auto" w:val="clear"/>
            <w:tcMar>
              <w:top w:type="dxa" w:w="80"/>
              <w:left w:type="dxa" w:w="120"/>
              <w:bottom w:type="dxa" w:w="80"/>
              <w:right w:type="dxa" w:w="120"/>
            </w:tcMar>
            <w:vAlign w:val="center"/>
          </w:tcPr>
          <w:p>
            <w:pPr>
              <w:spacing w:after="0" w:line="280"/>
              <w:jc w:val="center"/>
            </w:pPr>
            <w:r>
              <w:rPr>
                <w:rFonts w:ascii="Calibri" w:cs="Calibri" w:eastAsia="Calibri" w:hAnsi="Calibri"/>
                <w:b/>
                <w:bCs/>
                <w:color w:val="FFFFFF"/>
                <w:sz w:val="20"/>
                <w:szCs w:val="20"/>
              </w:rPr>
              <w:t xml:space="preserve">Borne min. (DT)</w:t>
            </w:r>
          </w:p>
        </w:tc>
        <w:tc>
          <w:tcPr>
            <w:tcW w:type="dxa" w:w="2410"/>
            <w:tcBorders>
              <w:top w:val="single" w:color="B0B0B0" w:sz="4"/>
              <w:left w:val="single" w:color="B0B0B0" w:sz="4"/>
              <w:bottom w:val="single" w:color="B0B0B0" w:sz="4"/>
              <w:right w:val="single" w:color="B0B0B0" w:sz="4"/>
            </w:tcBorders>
            <w:shd w:fill="1F3A68" w:color="auto" w:val="clear"/>
            <w:tcMar>
              <w:top w:type="dxa" w:w="80"/>
              <w:left w:type="dxa" w:w="120"/>
              <w:bottom w:type="dxa" w:w="80"/>
              <w:right w:type="dxa" w:w="120"/>
            </w:tcMar>
            <w:vAlign w:val="center"/>
          </w:tcPr>
          <w:p>
            <w:pPr>
              <w:spacing w:after="0" w:line="280"/>
              <w:jc w:val="center"/>
            </w:pPr>
            <w:r>
              <w:rPr>
                <w:rFonts w:ascii="Calibri" w:cs="Calibri" w:eastAsia="Calibri" w:hAnsi="Calibri"/>
                <w:b/>
                <w:bCs/>
                <w:color w:val="FFFFFF"/>
                <w:sz w:val="20"/>
                <w:szCs w:val="20"/>
              </w:rPr>
              <w:t xml:space="preserve">Borne max. (DT)</w:t>
            </w:r>
          </w:p>
        </w:tc>
        <w:tc>
          <w:tcPr>
            <w:tcW w:type="dxa" w:w="1445"/>
            <w:tcBorders>
              <w:top w:val="single" w:color="B0B0B0" w:sz="4"/>
              <w:left w:val="single" w:color="B0B0B0" w:sz="4"/>
              <w:bottom w:val="single" w:color="B0B0B0" w:sz="4"/>
              <w:right w:val="single" w:color="B0B0B0" w:sz="4"/>
            </w:tcBorders>
            <w:shd w:fill="1F3A68" w:color="auto" w:val="clear"/>
            <w:tcMar>
              <w:top w:type="dxa" w:w="80"/>
              <w:left w:type="dxa" w:w="120"/>
              <w:bottom w:type="dxa" w:w="80"/>
              <w:right w:type="dxa" w:w="120"/>
            </w:tcMar>
            <w:vAlign w:val="center"/>
          </w:tcPr>
          <w:p>
            <w:pPr>
              <w:spacing w:after="0" w:line="280"/>
              <w:jc w:val="center"/>
            </w:pPr>
            <w:r>
              <w:rPr>
                <w:rFonts w:ascii="Calibri" w:cs="Calibri" w:eastAsia="Calibri" w:hAnsi="Calibri"/>
                <w:b/>
                <w:bCs/>
                <w:color w:val="FFFFFF"/>
                <w:sz w:val="20"/>
                <w:szCs w:val="20"/>
              </w:rPr>
              <w:t xml:space="preserve">Taux</w:t>
            </w:r>
          </w:p>
        </w:tc>
        <w:tc>
          <w:tcPr>
            <w:tcW w:type="dxa" w:w="1445"/>
            <w:tcBorders>
              <w:top w:val="single" w:color="B0B0B0" w:sz="4"/>
              <w:left w:val="single" w:color="B0B0B0" w:sz="4"/>
              <w:bottom w:val="single" w:color="B0B0B0" w:sz="4"/>
              <w:right w:val="single" w:color="B0B0B0" w:sz="4"/>
            </w:tcBorders>
            <w:shd w:fill="1F3A68" w:color="auto" w:val="clear"/>
            <w:tcMar>
              <w:top w:type="dxa" w:w="80"/>
              <w:left w:type="dxa" w:w="120"/>
              <w:bottom w:type="dxa" w:w="80"/>
              <w:right w:type="dxa" w:w="120"/>
            </w:tcMar>
            <w:vAlign w:val="center"/>
          </w:tcPr>
          <w:p>
            <w:pPr>
              <w:spacing w:after="0" w:line="280"/>
              <w:jc w:val="center"/>
            </w:pPr>
            <w:r>
              <w:rPr>
                <w:rFonts w:ascii="Calibri" w:cs="Calibri" w:eastAsia="Calibri" w:hAnsi="Calibri"/>
                <w:b/>
                <w:bCs/>
                <w:color w:val="FFFFFF"/>
                <w:sz w:val="20"/>
                <w:szCs w:val="20"/>
              </w:rPr>
              <w:t xml:space="preserve">IRPP (DT)</w:t>
            </w:r>
          </w:p>
        </w:tc>
      </w:tr>
      <w:tr>
        <w:tc>
          <w:tcPr>
            <w:tcW w:type="dxa" w:w="1928"/>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b/>
                <w:bCs/>
                <w:sz w:val="20"/>
                <w:szCs w:val="20"/>
              </w:rPr>
              <w:t xml:space="preserve">Tranche 1 : 5 000</w:t>
            </w:r>
          </w:p>
        </w:tc>
        <w:tc>
          <w:tcPr>
            <w:tcW w:type="dxa" w:w="2410"/>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sz w:val="20"/>
                <w:szCs w:val="20"/>
              </w:rPr>
              <w:t xml:space="preserve">—</w:t>
            </w:r>
          </w:p>
        </w:tc>
        <w:tc>
          <w:tcPr>
            <w:tcW w:type="dxa" w:w="2410"/>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sz w:val="20"/>
                <w:szCs w:val="20"/>
              </w:rPr>
              <w:t xml:space="preserve">5 000,000</w:t>
            </w:r>
          </w:p>
        </w:tc>
        <w:tc>
          <w:tcPr>
            <w:tcW w:type="dxa" w:w="1445"/>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b/>
                <w:bCs/>
                <w:color w:val="C0392B"/>
                <w:sz w:val="20"/>
                <w:szCs w:val="20"/>
              </w:rPr>
              <w:t xml:space="preserve">0 %</w:t>
            </w:r>
          </w:p>
        </w:tc>
        <w:tc>
          <w:tcPr>
            <w:tcW w:type="dxa" w:w="1445"/>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sz w:val="20"/>
                <w:szCs w:val="20"/>
              </w:rPr>
              <w:t xml:space="preserve">—</w:t>
            </w:r>
          </w:p>
        </w:tc>
      </w:tr>
      <w:tr>
        <w:tc>
          <w:tcPr>
            <w:tcW w:type="dxa" w:w="1928"/>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b/>
                <w:bCs/>
                <w:sz w:val="20"/>
                <w:szCs w:val="20"/>
              </w:rPr>
              <w:t xml:space="preserve">Tranche 2 : 5 000</w:t>
            </w:r>
          </w:p>
        </w:tc>
        <w:tc>
          <w:tcPr>
            <w:tcW w:type="dxa" w:w="2410"/>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sz w:val="20"/>
                <w:szCs w:val="20"/>
              </w:rPr>
              <w:t xml:space="preserve">5 000,001</w:t>
            </w:r>
          </w:p>
        </w:tc>
        <w:tc>
          <w:tcPr>
            <w:tcW w:type="dxa" w:w="2410"/>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sz w:val="20"/>
                <w:szCs w:val="20"/>
              </w:rPr>
              <w:t xml:space="preserve">10 000,000</w:t>
            </w:r>
          </w:p>
        </w:tc>
        <w:tc>
          <w:tcPr>
            <w:tcW w:type="dxa" w:w="1445"/>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b/>
                <w:bCs/>
                <w:color w:val="C0392B"/>
                <w:sz w:val="20"/>
                <w:szCs w:val="20"/>
              </w:rPr>
              <w:t xml:space="preserve">15 %</w:t>
            </w:r>
          </w:p>
        </w:tc>
        <w:tc>
          <w:tcPr>
            <w:tcW w:type="dxa" w:w="1445"/>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sz w:val="20"/>
                <w:szCs w:val="20"/>
              </w:rPr>
              <w:t xml:space="preserve">750,000</w:t>
            </w:r>
          </w:p>
        </w:tc>
      </w:tr>
      <w:tr>
        <w:tc>
          <w:tcPr>
            <w:tcW w:type="dxa" w:w="1928"/>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b/>
                <w:bCs/>
                <w:sz w:val="20"/>
                <w:szCs w:val="20"/>
              </w:rPr>
              <w:t xml:space="preserve">Tranche 3 : 10 000</w:t>
            </w:r>
          </w:p>
        </w:tc>
        <w:tc>
          <w:tcPr>
            <w:tcW w:type="dxa" w:w="2410"/>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sz w:val="20"/>
                <w:szCs w:val="20"/>
              </w:rPr>
              <w:t xml:space="preserve">10 000,001</w:t>
            </w:r>
          </w:p>
        </w:tc>
        <w:tc>
          <w:tcPr>
            <w:tcW w:type="dxa" w:w="2410"/>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sz w:val="20"/>
                <w:szCs w:val="20"/>
              </w:rPr>
              <w:t xml:space="preserve">20 000,000</w:t>
            </w:r>
          </w:p>
        </w:tc>
        <w:tc>
          <w:tcPr>
            <w:tcW w:type="dxa" w:w="1445"/>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b/>
                <w:bCs/>
                <w:color w:val="C0392B"/>
                <w:sz w:val="20"/>
                <w:szCs w:val="20"/>
              </w:rPr>
              <w:t xml:space="preserve">25 %</w:t>
            </w:r>
          </w:p>
        </w:tc>
        <w:tc>
          <w:tcPr>
            <w:tcW w:type="dxa" w:w="1445"/>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sz w:val="20"/>
                <w:szCs w:val="20"/>
              </w:rPr>
              <w:t xml:space="preserve">2 500,000</w:t>
            </w:r>
          </w:p>
        </w:tc>
      </w:tr>
      <w:tr>
        <w:tc>
          <w:tcPr>
            <w:tcW w:type="dxa" w:w="1928"/>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b/>
                <w:bCs/>
                <w:sz w:val="20"/>
                <w:szCs w:val="20"/>
              </w:rPr>
              <w:t xml:space="preserve">Tranche 4 : 10 000</w:t>
            </w:r>
          </w:p>
        </w:tc>
        <w:tc>
          <w:tcPr>
            <w:tcW w:type="dxa" w:w="2410"/>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sz w:val="20"/>
                <w:szCs w:val="20"/>
              </w:rPr>
              <w:t xml:space="preserve">20 000,001</w:t>
            </w:r>
          </w:p>
        </w:tc>
        <w:tc>
          <w:tcPr>
            <w:tcW w:type="dxa" w:w="2410"/>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sz w:val="20"/>
                <w:szCs w:val="20"/>
              </w:rPr>
              <w:t xml:space="preserve">30 000,000</w:t>
            </w:r>
          </w:p>
        </w:tc>
        <w:tc>
          <w:tcPr>
            <w:tcW w:type="dxa" w:w="1445"/>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b/>
                <w:bCs/>
                <w:color w:val="C0392B"/>
                <w:sz w:val="20"/>
                <w:szCs w:val="20"/>
              </w:rPr>
              <w:t xml:space="preserve">30 %</w:t>
            </w:r>
          </w:p>
        </w:tc>
        <w:tc>
          <w:tcPr>
            <w:tcW w:type="dxa" w:w="1445"/>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sz w:val="20"/>
                <w:szCs w:val="20"/>
              </w:rPr>
              <w:t xml:space="preserve">3 000,000</w:t>
            </w:r>
          </w:p>
        </w:tc>
      </w:tr>
      <w:tr>
        <w:tc>
          <w:tcPr>
            <w:tcW w:type="dxa" w:w="1928"/>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b/>
                <w:bCs/>
                <w:sz w:val="20"/>
                <w:szCs w:val="20"/>
              </w:rPr>
              <w:t xml:space="preserve">Tranche 5 : 10 000</w:t>
            </w:r>
          </w:p>
        </w:tc>
        <w:tc>
          <w:tcPr>
            <w:tcW w:type="dxa" w:w="2410"/>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sz w:val="20"/>
                <w:szCs w:val="20"/>
              </w:rPr>
              <w:t xml:space="preserve">30 000,001</w:t>
            </w:r>
          </w:p>
        </w:tc>
        <w:tc>
          <w:tcPr>
            <w:tcW w:type="dxa" w:w="2410"/>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sz w:val="20"/>
                <w:szCs w:val="20"/>
              </w:rPr>
              <w:t xml:space="preserve">40 000,000</w:t>
            </w:r>
          </w:p>
        </w:tc>
        <w:tc>
          <w:tcPr>
            <w:tcW w:type="dxa" w:w="1445"/>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b/>
                <w:bCs/>
                <w:color w:val="C0392B"/>
                <w:sz w:val="20"/>
                <w:szCs w:val="20"/>
              </w:rPr>
              <w:t xml:space="preserve">33 %</w:t>
            </w:r>
          </w:p>
        </w:tc>
        <w:tc>
          <w:tcPr>
            <w:tcW w:type="dxa" w:w="1445"/>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sz w:val="20"/>
                <w:szCs w:val="20"/>
              </w:rPr>
              <w:t xml:space="preserve">3 300,000</w:t>
            </w:r>
          </w:p>
        </w:tc>
      </w:tr>
      <w:tr>
        <w:tc>
          <w:tcPr>
            <w:tcW w:type="dxa" w:w="1928"/>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b/>
                <w:bCs/>
                <w:sz w:val="20"/>
                <w:szCs w:val="20"/>
              </w:rPr>
              <w:t xml:space="preserve">Tranche 6 : 10 000</w:t>
            </w:r>
          </w:p>
        </w:tc>
        <w:tc>
          <w:tcPr>
            <w:tcW w:type="dxa" w:w="2410"/>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sz w:val="20"/>
                <w:szCs w:val="20"/>
              </w:rPr>
              <w:t xml:space="preserve">40 000,001</w:t>
            </w:r>
          </w:p>
        </w:tc>
        <w:tc>
          <w:tcPr>
            <w:tcW w:type="dxa" w:w="2410"/>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sz w:val="20"/>
                <w:szCs w:val="20"/>
              </w:rPr>
              <w:t xml:space="preserve">50 000,000</w:t>
            </w:r>
          </w:p>
        </w:tc>
        <w:tc>
          <w:tcPr>
            <w:tcW w:type="dxa" w:w="1445"/>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b/>
                <w:bCs/>
                <w:color w:val="C0392B"/>
                <w:sz w:val="20"/>
                <w:szCs w:val="20"/>
              </w:rPr>
              <w:t xml:space="preserve">36 %</w:t>
            </w:r>
          </w:p>
        </w:tc>
        <w:tc>
          <w:tcPr>
            <w:tcW w:type="dxa" w:w="1445"/>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sz w:val="20"/>
                <w:szCs w:val="20"/>
              </w:rPr>
              <w:t xml:space="preserve">3 600,000</w:t>
            </w:r>
          </w:p>
        </w:tc>
      </w:tr>
      <w:tr>
        <w:tc>
          <w:tcPr>
            <w:tcW w:type="dxa" w:w="1928"/>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b/>
                <w:bCs/>
                <w:sz w:val="20"/>
                <w:szCs w:val="20"/>
              </w:rPr>
              <w:t xml:space="preserve">Tranche 7 : 20 000</w:t>
            </w:r>
          </w:p>
        </w:tc>
        <w:tc>
          <w:tcPr>
            <w:tcW w:type="dxa" w:w="2410"/>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sz w:val="20"/>
                <w:szCs w:val="20"/>
              </w:rPr>
              <w:t xml:space="preserve">50 000,001</w:t>
            </w:r>
          </w:p>
        </w:tc>
        <w:tc>
          <w:tcPr>
            <w:tcW w:type="dxa" w:w="2410"/>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sz w:val="20"/>
                <w:szCs w:val="20"/>
              </w:rPr>
              <w:t xml:space="preserve">70 000,000</w:t>
            </w:r>
          </w:p>
        </w:tc>
        <w:tc>
          <w:tcPr>
            <w:tcW w:type="dxa" w:w="1445"/>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b/>
                <w:bCs/>
                <w:color w:val="C0392B"/>
                <w:sz w:val="20"/>
                <w:szCs w:val="20"/>
              </w:rPr>
              <w:t xml:space="preserve">38 %</w:t>
            </w:r>
          </w:p>
        </w:tc>
        <w:tc>
          <w:tcPr>
            <w:tcW w:type="dxa" w:w="1445"/>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sz w:val="20"/>
                <w:szCs w:val="20"/>
              </w:rPr>
              <w:t xml:space="preserve">7 600,000</w:t>
            </w:r>
          </w:p>
        </w:tc>
      </w:tr>
      <w:tr>
        <w:tc>
          <w:tcPr>
            <w:tcW w:type="dxa" w:w="1928"/>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b/>
                <w:bCs/>
                <w:sz w:val="20"/>
                <w:szCs w:val="20"/>
              </w:rPr>
              <w:t xml:space="preserve">Tranche 8 : + 70 000</w:t>
            </w:r>
          </w:p>
        </w:tc>
        <w:tc>
          <w:tcPr>
            <w:tcW w:type="dxa" w:w="2410"/>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sz w:val="20"/>
                <w:szCs w:val="20"/>
              </w:rPr>
              <w:t xml:space="preserve">70 000,001</w:t>
            </w:r>
          </w:p>
        </w:tc>
        <w:tc>
          <w:tcPr>
            <w:tcW w:type="dxa" w:w="2410"/>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sz w:val="20"/>
                <w:szCs w:val="20"/>
              </w:rPr>
              <w:t xml:space="preserve">+</w:t>
            </w:r>
          </w:p>
        </w:tc>
        <w:tc>
          <w:tcPr>
            <w:tcW w:type="dxa" w:w="1445"/>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b/>
                <w:bCs/>
                <w:color w:val="C0392B"/>
                <w:sz w:val="20"/>
                <w:szCs w:val="20"/>
              </w:rPr>
              <w:t xml:space="preserve">40 %</w:t>
            </w:r>
          </w:p>
        </w:tc>
        <w:tc>
          <w:tcPr>
            <w:tcW w:type="dxa" w:w="1445"/>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sz w:val="20"/>
                <w:szCs w:val="20"/>
              </w:rPr>
              <w:t xml:space="preserve">12 000,000</w:t>
            </w:r>
          </w:p>
        </w:tc>
      </w:tr>
      <w:tr>
        <w:tc>
          <w:tcPr>
            <w:tcW w:type="dxa" w:w="1928"/>
            <w:tcBorders>
              <w:top w:val="single" w:color="B0B0B0" w:sz="4"/>
              <w:left w:val="single" w:color="B0B0B0" w:sz="4"/>
              <w:bottom w:val="single" w:color="B0B0B0" w:sz="4"/>
              <w:right w:val="single" w:color="B0B0B0" w:sz="4"/>
            </w:tcBorders>
            <w:shd w:fill="EAF1F8" w:color="auto" w:val="clear"/>
            <w:tcMar>
              <w:top w:type="dxa" w:w="80"/>
              <w:left w:type="dxa" w:w="120"/>
              <w:bottom w:type="dxa" w:w="80"/>
              <w:right w:type="dxa" w:w="120"/>
            </w:tcMar>
            <w:vAlign w:val="center"/>
          </w:tcPr>
          <w:p>
            <w:pPr>
              <w:spacing w:after="0" w:line="280"/>
              <w:jc w:val="center"/>
            </w:pPr>
            <w:r>
              <w:rPr>
                <w:rFonts w:ascii="Calibri" w:cs="Calibri" w:eastAsia="Calibri" w:hAnsi="Calibri"/>
                <w:b/>
                <w:bCs/>
                <w:sz w:val="20"/>
                <w:szCs w:val="20"/>
              </w:rPr>
              <w:t xml:space="preserve">IR total =</w:t>
            </w:r>
          </w:p>
        </w:tc>
        <w:tc>
          <w:tcPr>
            <w:tcW w:type="dxa" w:w="2410"/>
            <w:tcBorders>
              <w:top w:val="single" w:color="B0B0B0" w:sz="4"/>
              <w:left w:val="single" w:color="B0B0B0" w:sz="4"/>
              <w:bottom w:val="single" w:color="B0B0B0" w:sz="4"/>
              <w:right w:val="single" w:color="B0B0B0" w:sz="4"/>
            </w:tcBorders>
            <w:shd w:fill="EAF1F8" w:color="auto" w:val="clear"/>
            <w:tcMar>
              <w:top w:type="dxa" w:w="80"/>
              <w:left w:type="dxa" w:w="120"/>
              <w:bottom w:type="dxa" w:w="80"/>
              <w:right w:type="dxa" w:w="120"/>
            </w:tcMar>
            <w:vAlign w:val="center"/>
          </w:tcPr>
          <w:p>
            <w:pPr>
              <w:spacing w:after="0" w:line="280"/>
              <w:jc w:val="left"/>
            </w:pPr>
            <w:r>
              <w:rPr>
                <w:rFonts w:ascii="Calibri" w:cs="Calibri" w:eastAsia="Calibri" w:hAnsi="Calibri"/>
                <w:sz w:val="20"/>
                <w:szCs w:val="20"/>
              </w:rPr>
              <w:t xml:space="preserve"/>
            </w:r>
          </w:p>
        </w:tc>
        <w:tc>
          <w:tcPr>
            <w:tcW w:type="dxa" w:w="2410"/>
            <w:tcBorders>
              <w:top w:val="single" w:color="B0B0B0" w:sz="4"/>
              <w:left w:val="single" w:color="B0B0B0" w:sz="4"/>
              <w:bottom w:val="single" w:color="B0B0B0" w:sz="4"/>
              <w:right w:val="single" w:color="B0B0B0" w:sz="4"/>
            </w:tcBorders>
            <w:shd w:fill="EAF1F8" w:color="auto" w:val="clear"/>
            <w:tcMar>
              <w:top w:type="dxa" w:w="80"/>
              <w:left w:type="dxa" w:w="120"/>
              <w:bottom w:type="dxa" w:w="80"/>
              <w:right w:type="dxa" w:w="120"/>
            </w:tcMar>
            <w:vAlign w:val="center"/>
          </w:tcPr>
          <w:p>
            <w:pPr>
              <w:spacing w:after="0" w:line="280"/>
              <w:jc w:val="left"/>
            </w:pPr>
            <w:r>
              <w:rPr>
                <w:rFonts w:ascii="Calibri" w:cs="Calibri" w:eastAsia="Calibri" w:hAnsi="Calibri"/>
                <w:sz w:val="20"/>
                <w:szCs w:val="20"/>
              </w:rPr>
              <w:t xml:space="preserve"/>
            </w:r>
          </w:p>
        </w:tc>
        <w:tc>
          <w:tcPr>
            <w:tcW w:type="dxa" w:w="1445"/>
            <w:tcBorders>
              <w:top w:val="single" w:color="B0B0B0" w:sz="4"/>
              <w:left w:val="single" w:color="B0B0B0" w:sz="4"/>
              <w:bottom w:val="single" w:color="B0B0B0" w:sz="4"/>
              <w:right w:val="single" w:color="B0B0B0" w:sz="4"/>
            </w:tcBorders>
            <w:shd w:fill="EAF1F8" w:color="auto" w:val="clear"/>
            <w:tcMar>
              <w:top w:type="dxa" w:w="80"/>
              <w:left w:type="dxa" w:w="120"/>
              <w:bottom w:type="dxa" w:w="80"/>
              <w:right w:type="dxa" w:w="120"/>
            </w:tcMar>
            <w:vAlign w:val="center"/>
          </w:tcPr>
          <w:p>
            <w:pPr>
              <w:spacing w:after="0" w:line="280"/>
              <w:jc w:val="left"/>
            </w:pPr>
            <w:r>
              <w:rPr>
                <w:rFonts w:ascii="Calibri" w:cs="Calibri" w:eastAsia="Calibri" w:hAnsi="Calibri"/>
                <w:sz w:val="20"/>
                <w:szCs w:val="20"/>
              </w:rPr>
              <w:t xml:space="preserve"/>
            </w:r>
          </w:p>
        </w:tc>
        <w:tc>
          <w:tcPr>
            <w:tcW w:type="dxa" w:w="1445"/>
            <w:tcBorders>
              <w:top w:val="single" w:color="B0B0B0" w:sz="4"/>
              <w:left w:val="single" w:color="B0B0B0" w:sz="4"/>
              <w:bottom w:val="single" w:color="B0B0B0" w:sz="4"/>
              <w:right w:val="single" w:color="B0B0B0" w:sz="4"/>
            </w:tcBorders>
            <w:shd w:fill="EAF1F8" w:color="auto" w:val="clear"/>
            <w:tcMar>
              <w:top w:type="dxa" w:w="80"/>
              <w:left w:type="dxa" w:w="120"/>
              <w:bottom w:type="dxa" w:w="80"/>
              <w:right w:type="dxa" w:w="120"/>
            </w:tcMar>
            <w:vAlign w:val="center"/>
          </w:tcPr>
          <w:p>
            <w:pPr>
              <w:spacing w:after="0" w:line="280"/>
              <w:jc w:val="center"/>
            </w:pPr>
            <w:r>
              <w:rPr>
                <w:rFonts w:ascii="Calibri" w:cs="Calibri" w:eastAsia="Calibri" w:hAnsi="Calibri"/>
                <w:b/>
                <w:bCs/>
                <w:color w:val="C0392B"/>
                <w:sz w:val="20"/>
                <w:szCs w:val="20"/>
              </w:rPr>
              <w:t xml:space="preserve">32 750,000</w:t>
            </w:r>
          </w:p>
        </w:tc>
      </w:tr>
    </w:tbl>
    <w:p>
      <w:pPr>
        <w:spacing w:after="80"/>
      </w:pPr>
      <w:r>
        <w:t xml:space="preserve"/>
      </w:r>
    </w:p>
    <w:p>
      <w:pPr>
        <w:spacing w:after="120" w:line="300"/>
        <w:jc w:val="both"/>
      </w:pPr>
      <w:r>
        <w:rPr>
          <w:rFonts w:ascii="Calibri" w:cs="Calibri" w:eastAsia="Calibri" w:hAnsi="Calibri"/>
          <w:i/>
          <w:iCs/>
          <w:color w:val="4A4A4A"/>
          <w:sz w:val="18"/>
          <w:szCs w:val="18"/>
        </w:rPr>
        <w:t xml:space="preserve">Source : barème IRPP applicable à partir de 2025</w:t>
      </w:r>
      <w:r>
        <w:rPr>
          <w:rStyle w:val="FootnoteReference"/>
        </w:rPr>
        <w:footnoteReference w:id="24"/>
      </w:r>
      <w:r>
        <w:rPr>
          <w:rFonts w:ascii="Calibri" w:cs="Calibri" w:eastAsia="Calibri" w:hAnsi="Calibri"/>
          <w:sz w:val="18"/>
          <w:szCs w:val="18"/>
        </w:rPr>
        <w:t xml:space="preserve">.</w:t>
      </w:r>
    </w:p>
    <w:p>
      <w:pPr>
        <w:pStyle w:val="Heading2"/>
        <w:spacing w:after="140" w:before="280"/>
      </w:pPr>
      <w:r>
        <w:rPr>
          <w:rFonts w:ascii="Calibri" w:cs="Calibri" w:eastAsia="Calibri" w:hAnsi="Calibri"/>
          <w:b/>
          <w:bCs/>
          <w:color w:val="1F3A68"/>
          <w:sz w:val="28"/>
          <w:szCs w:val="28"/>
        </w:rPr>
        <w:t xml:space="preserve">6.2 La Contribution Sociale de Solidarité (CSS) en 2026</w:t>
      </w:r>
    </w:p>
    <w:p>
      <w:pPr>
        <w:spacing w:after="120" w:line="300"/>
        <w:jc w:val="both"/>
      </w:pPr>
      <w:r>
        <w:rPr>
          <w:rFonts w:ascii="Calibri" w:cs="Calibri" w:eastAsia="Calibri" w:hAnsi="Calibri"/>
          <w:sz w:val="22"/>
          <w:szCs w:val="22"/>
        </w:rPr>
        <w:t xml:space="preserve">L'article 87 de la Loi de Finances 2026 prolonge pour toute l'année 2026 les mesures exceptionnelles concernant la CSS. Les personnes physiques bénéficient d'une réduction temporaire de 0,5 point sur le taux applicable à leurs revenus (salaires, pensions, revenus déclarés des non-salariés). L'exonération totale est maintenue pour les contribuables dont le revenu annuel net imposable ne dépasse pas 5 000 DT après déductions familiales.</w:t>
      </w:r>
      <w:r>
        <w:rPr>
          <w:rStyle w:val="FootnoteReference"/>
        </w:rPr>
        <w:footnoteReference w:id="25"/>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4819"/>
        <w:gridCol w:w="4819"/>
      </w:tblGrid>
      <w:tr>
        <w:trPr>
          <w:tblHeader/>
        </w:trPr>
        <w:tc>
          <w:tcPr>
            <w:tcW w:type="dxa" w:w="4819"/>
            <w:tcBorders>
              <w:top w:val="single" w:color="B0B0B0" w:sz="4"/>
              <w:left w:val="single" w:color="B0B0B0" w:sz="4"/>
              <w:bottom w:val="single" w:color="B0B0B0" w:sz="4"/>
              <w:right w:val="single" w:color="B0B0B0" w:sz="4"/>
            </w:tcBorders>
            <w:shd w:fill="1F3A68" w:color="auto" w:val="clear"/>
            <w:tcMar>
              <w:top w:type="dxa" w:w="80"/>
              <w:left w:type="dxa" w:w="120"/>
              <w:bottom w:type="dxa" w:w="80"/>
              <w:right w:type="dxa" w:w="120"/>
            </w:tcMar>
            <w:vAlign w:val="center"/>
          </w:tcPr>
          <w:p>
            <w:pPr>
              <w:spacing w:after="0" w:line="280"/>
              <w:jc w:val="center"/>
            </w:pPr>
            <w:r>
              <w:rPr>
                <w:rFonts w:ascii="Calibri" w:cs="Calibri" w:eastAsia="Calibri" w:hAnsi="Calibri"/>
                <w:b/>
                <w:bCs/>
                <w:color w:val="FFFFFF"/>
                <w:sz w:val="20"/>
                <w:szCs w:val="20"/>
              </w:rPr>
              <w:t xml:space="preserve">Contribution Sociale de Solidarité</w:t>
            </w:r>
          </w:p>
        </w:tc>
        <w:tc>
          <w:tcPr>
            <w:tcW w:type="dxa" w:w="4819"/>
            <w:tcBorders>
              <w:top w:val="single" w:color="B0B0B0" w:sz="4"/>
              <w:left w:val="single" w:color="B0B0B0" w:sz="4"/>
              <w:bottom w:val="single" w:color="B0B0B0" w:sz="4"/>
              <w:right w:val="single" w:color="B0B0B0" w:sz="4"/>
            </w:tcBorders>
            <w:shd w:fill="1F3A68" w:color="auto" w:val="clear"/>
            <w:tcMar>
              <w:top w:type="dxa" w:w="80"/>
              <w:left w:type="dxa" w:w="120"/>
              <w:bottom w:type="dxa" w:w="80"/>
              <w:right w:type="dxa" w:w="120"/>
            </w:tcMar>
            <w:vAlign w:val="center"/>
          </w:tcPr>
          <w:p>
            <w:pPr>
              <w:spacing w:after="0" w:line="280"/>
              <w:jc w:val="center"/>
            </w:pPr>
            <w:r>
              <w:rPr>
                <w:rFonts w:ascii="Calibri" w:cs="Calibri" w:eastAsia="Calibri" w:hAnsi="Calibri"/>
                <w:b/>
                <w:bCs/>
                <w:color w:val="FFFFFF"/>
                <w:sz w:val="20"/>
                <w:szCs w:val="20"/>
              </w:rPr>
              <w:t xml:space="preserve">Taux applicable (personnes physiques)</w:t>
            </w:r>
          </w:p>
        </w:tc>
      </w:tr>
      <w:tr>
        <w:tc>
          <w:tcPr>
            <w:tcW w:type="dxa" w:w="4819"/>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b/>
                <w:bCs/>
                <w:sz w:val="20"/>
                <w:szCs w:val="20"/>
              </w:rPr>
              <w:t xml:space="preserve">Taux 2026</w:t>
            </w:r>
          </w:p>
        </w:tc>
        <w:tc>
          <w:tcPr>
            <w:tcW w:type="dxa" w:w="4819"/>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b/>
                <w:bCs/>
                <w:color w:val="C0392B"/>
                <w:sz w:val="20"/>
                <w:szCs w:val="20"/>
              </w:rPr>
              <w:t xml:space="preserve">0,5 %</w:t>
            </w:r>
          </w:p>
        </w:tc>
      </w:tr>
      <w:tr>
        <w:tc>
          <w:tcPr>
            <w:tcW w:type="dxa" w:w="4819"/>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b/>
                <w:bCs/>
                <w:sz w:val="20"/>
                <w:szCs w:val="20"/>
              </w:rPr>
              <w:t xml:space="preserve">Assiette imposable (exemple)</w:t>
            </w:r>
          </w:p>
        </w:tc>
        <w:tc>
          <w:tcPr>
            <w:tcW w:type="dxa" w:w="4819"/>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sz w:val="20"/>
                <w:szCs w:val="20"/>
              </w:rPr>
              <w:t xml:space="preserve">100 000,000 DT</w:t>
            </w:r>
          </w:p>
        </w:tc>
      </w:tr>
      <w:tr>
        <w:tc>
          <w:tcPr>
            <w:tcW w:type="dxa" w:w="4819"/>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b/>
                <w:bCs/>
                <w:sz w:val="20"/>
                <w:szCs w:val="20"/>
              </w:rPr>
              <w:t xml:space="preserve">CSS due</w:t>
            </w:r>
          </w:p>
        </w:tc>
        <w:tc>
          <w:tcPr>
            <w:tcW w:type="dxa" w:w="4819"/>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b/>
                <w:bCs/>
                <w:sz w:val="20"/>
                <w:szCs w:val="20"/>
              </w:rPr>
              <w:t xml:space="preserve">500,000 DT</w:t>
            </w:r>
          </w:p>
        </w:tc>
      </w:tr>
      <w:tr>
        <w:tc>
          <w:tcPr>
            <w:tcW w:type="dxa" w:w="4819"/>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b/>
                <w:bCs/>
                <w:sz w:val="20"/>
                <w:szCs w:val="20"/>
              </w:rPr>
              <w:t xml:space="preserve">Seuil d'exonération</w:t>
            </w:r>
          </w:p>
        </w:tc>
        <w:tc>
          <w:tcPr>
            <w:tcW w:type="dxa" w:w="4819"/>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sz w:val="20"/>
                <w:szCs w:val="20"/>
              </w:rPr>
              <w:t xml:space="preserve">Revenu annuel net ≤ 5 000 DT</w:t>
            </w:r>
          </w:p>
        </w:tc>
      </w:tr>
    </w:tbl>
    <w:p>
      <w:pPr>
        <w:spacing w:after="200"/>
      </w:pPr>
      <w:r>
        <w:t xml:space="preserve"/>
      </w:r>
    </w:p>
    <w:p>
      <w:pPr>
        <w:pStyle w:val="Heading3"/>
        <w:spacing w:after="100" w:before="220"/>
      </w:pPr>
      <w:r>
        <w:rPr>
          <w:rFonts w:ascii="Calibri" w:cs="Calibri" w:eastAsia="Calibri" w:hAnsi="Calibri"/>
          <w:b/>
          <w:bCs/>
          <w:color w:val="C0392B"/>
          <w:sz w:val="24"/>
          <w:szCs w:val="24"/>
        </w:rPr>
        <w:t xml:space="preserve">Synthèse de la déclaration d'impôts sur le revenu des personnes physiques</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4819"/>
        <w:gridCol w:w="4819"/>
      </w:tblGrid>
      <w:tr>
        <w:trPr>
          <w:tblHeader/>
        </w:trPr>
        <w:tc>
          <w:tcPr>
            <w:tcW w:type="dxa" w:w="4819"/>
            <w:tcBorders>
              <w:top w:val="single" w:color="B0B0B0" w:sz="4"/>
              <w:left w:val="single" w:color="B0B0B0" w:sz="4"/>
              <w:bottom w:val="single" w:color="B0B0B0" w:sz="4"/>
              <w:right w:val="single" w:color="B0B0B0" w:sz="4"/>
            </w:tcBorders>
            <w:shd w:fill="1F3A68" w:color="auto" w:val="clear"/>
            <w:tcMar>
              <w:top w:type="dxa" w:w="80"/>
              <w:left w:type="dxa" w:w="120"/>
              <w:bottom w:type="dxa" w:w="80"/>
              <w:right w:type="dxa" w:w="120"/>
            </w:tcMar>
            <w:vAlign w:val="center"/>
          </w:tcPr>
          <w:p>
            <w:pPr>
              <w:spacing w:after="0" w:line="280"/>
              <w:jc w:val="center"/>
            </w:pPr>
            <w:r>
              <w:rPr>
                <w:rFonts w:ascii="Calibri" w:cs="Calibri" w:eastAsia="Calibri" w:hAnsi="Calibri"/>
                <w:b/>
                <w:bCs/>
                <w:color w:val="FFFFFF"/>
                <w:sz w:val="20"/>
                <w:szCs w:val="20"/>
              </w:rPr>
              <w:t xml:space="preserve">Composante</w:t>
            </w:r>
          </w:p>
        </w:tc>
        <w:tc>
          <w:tcPr>
            <w:tcW w:type="dxa" w:w="4819"/>
            <w:tcBorders>
              <w:top w:val="single" w:color="B0B0B0" w:sz="4"/>
              <w:left w:val="single" w:color="B0B0B0" w:sz="4"/>
              <w:bottom w:val="single" w:color="B0B0B0" w:sz="4"/>
              <w:right w:val="single" w:color="B0B0B0" w:sz="4"/>
            </w:tcBorders>
            <w:shd w:fill="1F3A68" w:color="auto" w:val="clear"/>
            <w:tcMar>
              <w:top w:type="dxa" w:w="80"/>
              <w:left w:type="dxa" w:w="120"/>
              <w:bottom w:type="dxa" w:w="80"/>
              <w:right w:type="dxa" w:w="120"/>
            </w:tcMar>
            <w:vAlign w:val="center"/>
          </w:tcPr>
          <w:p>
            <w:pPr>
              <w:spacing w:after="0" w:line="280"/>
              <w:jc w:val="center"/>
            </w:pPr>
            <w:r>
              <w:rPr>
                <w:rFonts w:ascii="Calibri" w:cs="Calibri" w:eastAsia="Calibri" w:hAnsi="Calibri"/>
                <w:b/>
                <w:bCs/>
                <w:color w:val="FFFFFF"/>
                <w:sz w:val="20"/>
                <w:szCs w:val="20"/>
              </w:rPr>
              <w:t xml:space="preserve">Montant (DT)</w:t>
            </w:r>
          </w:p>
        </w:tc>
      </w:tr>
      <w:tr>
        <w:tc>
          <w:tcPr>
            <w:tcW w:type="dxa" w:w="4819"/>
            <w:tcBorders>
              <w:top w:val="single" w:color="B0B0B0" w:sz="4"/>
              <w:left w:val="single" w:color="B0B0B0" w:sz="4"/>
              <w:bottom w:val="single" w:color="B0B0B0" w:sz="4"/>
              <w:right w:val="single" w:color="B0B0B0" w:sz="4"/>
            </w:tcBorders>
            <w:shd w:fill="FFF59D" w:color="auto" w:val="clear"/>
            <w:tcMar>
              <w:top w:type="dxa" w:w="80"/>
              <w:left w:type="dxa" w:w="120"/>
              <w:bottom w:type="dxa" w:w="80"/>
              <w:right w:type="dxa" w:w="120"/>
            </w:tcMar>
            <w:vAlign w:val="center"/>
          </w:tcPr>
          <w:p>
            <w:pPr>
              <w:spacing w:after="0" w:line="280"/>
              <w:jc w:val="left"/>
            </w:pPr>
            <w:r>
              <w:rPr>
                <w:rFonts w:ascii="Calibri" w:cs="Calibri" w:eastAsia="Calibri" w:hAnsi="Calibri"/>
                <w:b/>
                <w:bCs/>
                <w:sz w:val="20"/>
                <w:szCs w:val="20"/>
              </w:rPr>
              <w:t xml:space="preserve">IRPP</w:t>
            </w:r>
          </w:p>
        </w:tc>
        <w:tc>
          <w:tcPr>
            <w:tcW w:type="dxa" w:w="4819"/>
            <w:tcBorders>
              <w:top w:val="single" w:color="B0B0B0" w:sz="4"/>
              <w:left w:val="single" w:color="B0B0B0" w:sz="4"/>
              <w:bottom w:val="single" w:color="B0B0B0" w:sz="4"/>
              <w:right w:val="single" w:color="B0B0B0" w:sz="4"/>
            </w:tcBorders>
            <w:shd w:fill="FFF59D" w:color="auto" w:val="clear"/>
            <w:tcMar>
              <w:top w:type="dxa" w:w="80"/>
              <w:left w:type="dxa" w:w="120"/>
              <w:bottom w:type="dxa" w:w="80"/>
              <w:right w:type="dxa" w:w="120"/>
            </w:tcMar>
            <w:vAlign w:val="center"/>
          </w:tcPr>
          <w:p>
            <w:pPr>
              <w:spacing w:after="0" w:line="280"/>
              <w:jc w:val="center"/>
            </w:pPr>
            <w:r>
              <w:rPr>
                <w:rFonts w:ascii="Calibri" w:cs="Calibri" w:eastAsia="Calibri" w:hAnsi="Calibri"/>
                <w:sz w:val="20"/>
                <w:szCs w:val="20"/>
              </w:rPr>
              <w:t xml:space="preserve">32 750,000</w:t>
            </w:r>
          </w:p>
        </w:tc>
      </w:tr>
      <w:tr>
        <w:tc>
          <w:tcPr>
            <w:tcW w:type="dxa" w:w="4819"/>
            <w:tcBorders>
              <w:top w:val="single" w:color="B0B0B0" w:sz="4"/>
              <w:left w:val="single" w:color="B0B0B0" w:sz="4"/>
              <w:bottom w:val="single" w:color="B0B0B0" w:sz="4"/>
              <w:right w:val="single" w:color="B0B0B0" w:sz="4"/>
            </w:tcBorders>
            <w:shd w:fill="BBDEFB" w:color="auto" w:val="clear"/>
            <w:tcMar>
              <w:top w:type="dxa" w:w="80"/>
              <w:left w:type="dxa" w:w="120"/>
              <w:bottom w:type="dxa" w:w="80"/>
              <w:right w:type="dxa" w:w="120"/>
            </w:tcMar>
            <w:vAlign w:val="center"/>
          </w:tcPr>
          <w:p>
            <w:pPr>
              <w:spacing w:after="0" w:line="280"/>
              <w:jc w:val="left"/>
            </w:pPr>
            <w:r>
              <w:rPr>
                <w:rFonts w:ascii="Calibri" w:cs="Calibri" w:eastAsia="Calibri" w:hAnsi="Calibri"/>
                <w:b/>
                <w:bCs/>
                <w:sz w:val="20"/>
                <w:szCs w:val="20"/>
              </w:rPr>
              <w:t xml:space="preserve">CSS</w:t>
            </w:r>
          </w:p>
        </w:tc>
        <w:tc>
          <w:tcPr>
            <w:tcW w:type="dxa" w:w="4819"/>
            <w:tcBorders>
              <w:top w:val="single" w:color="B0B0B0" w:sz="4"/>
              <w:left w:val="single" w:color="B0B0B0" w:sz="4"/>
              <w:bottom w:val="single" w:color="B0B0B0" w:sz="4"/>
              <w:right w:val="single" w:color="B0B0B0" w:sz="4"/>
            </w:tcBorders>
            <w:shd w:fill="BBDEFB" w:color="auto" w:val="clear"/>
            <w:tcMar>
              <w:top w:type="dxa" w:w="80"/>
              <w:left w:type="dxa" w:w="120"/>
              <w:bottom w:type="dxa" w:w="80"/>
              <w:right w:type="dxa" w:w="120"/>
            </w:tcMar>
            <w:vAlign w:val="center"/>
          </w:tcPr>
          <w:p>
            <w:pPr>
              <w:spacing w:after="0" w:line="280"/>
              <w:jc w:val="center"/>
            </w:pPr>
            <w:r>
              <w:rPr>
                <w:rFonts w:ascii="Calibri" w:cs="Calibri" w:eastAsia="Calibri" w:hAnsi="Calibri"/>
                <w:sz w:val="20"/>
                <w:szCs w:val="20"/>
              </w:rPr>
              <w:t xml:space="preserve">500,000</w:t>
            </w:r>
          </w:p>
        </w:tc>
      </w:tr>
      <w:tr>
        <w:tc>
          <w:tcPr>
            <w:tcW w:type="dxa" w:w="4819"/>
            <w:tcBorders>
              <w:top w:val="single" w:color="B0B0B0" w:sz="4"/>
              <w:left w:val="single" w:color="B0B0B0" w:sz="4"/>
              <w:bottom w:val="single" w:color="B0B0B0" w:sz="4"/>
              <w:right w:val="single" w:color="B0B0B0" w:sz="4"/>
            </w:tcBorders>
            <w:shd w:fill="EAF1F8" w:color="auto" w:val="clear"/>
            <w:tcMar>
              <w:top w:type="dxa" w:w="80"/>
              <w:left w:type="dxa" w:w="120"/>
              <w:bottom w:type="dxa" w:w="80"/>
              <w:right w:type="dxa" w:w="120"/>
            </w:tcMar>
            <w:vAlign w:val="center"/>
          </w:tcPr>
          <w:p>
            <w:pPr>
              <w:spacing w:after="0" w:line="280"/>
              <w:jc w:val="left"/>
            </w:pPr>
            <w:r>
              <w:rPr>
                <w:rFonts w:ascii="Calibri" w:cs="Calibri" w:eastAsia="Calibri" w:hAnsi="Calibri"/>
                <w:b/>
                <w:bCs/>
                <w:color w:val="C0392B"/>
                <w:sz w:val="20"/>
                <w:szCs w:val="20"/>
              </w:rPr>
              <w:t xml:space="preserve">Total dû</w:t>
            </w:r>
          </w:p>
        </w:tc>
        <w:tc>
          <w:tcPr>
            <w:tcW w:type="dxa" w:w="4819"/>
            <w:tcBorders>
              <w:top w:val="single" w:color="B0B0B0" w:sz="4"/>
              <w:left w:val="single" w:color="B0B0B0" w:sz="4"/>
              <w:bottom w:val="single" w:color="B0B0B0" w:sz="4"/>
              <w:right w:val="single" w:color="B0B0B0" w:sz="4"/>
            </w:tcBorders>
            <w:shd w:fill="EAF1F8" w:color="auto" w:val="clear"/>
            <w:tcMar>
              <w:top w:type="dxa" w:w="80"/>
              <w:left w:type="dxa" w:w="120"/>
              <w:bottom w:type="dxa" w:w="80"/>
              <w:right w:type="dxa" w:w="120"/>
            </w:tcMar>
            <w:vAlign w:val="center"/>
          </w:tcPr>
          <w:p>
            <w:pPr>
              <w:spacing w:after="0" w:line="280"/>
              <w:jc w:val="center"/>
            </w:pPr>
            <w:r>
              <w:rPr>
                <w:rFonts w:ascii="Calibri" w:cs="Calibri" w:eastAsia="Calibri" w:hAnsi="Calibri"/>
                <w:b/>
                <w:bCs/>
                <w:color w:val="C0392B"/>
                <w:sz w:val="20"/>
                <w:szCs w:val="20"/>
              </w:rPr>
              <w:t xml:space="preserve">33 250,000</w:t>
            </w:r>
          </w:p>
        </w:tc>
      </w:tr>
      <w:tr>
        <w:tc>
          <w:tcPr>
            <w:tcW w:type="dxa" w:w="4819"/>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b/>
                <w:bCs/>
                <w:sz w:val="20"/>
                <w:szCs w:val="20"/>
              </w:rPr>
              <w:t xml:space="preserve">Taux effectif d'imposition</w:t>
            </w:r>
          </w:p>
        </w:tc>
        <w:tc>
          <w:tcPr>
            <w:tcW w:type="dxa" w:w="4819"/>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b/>
                <w:bCs/>
                <w:color w:val="C0392B"/>
                <w:sz w:val="20"/>
                <w:szCs w:val="20"/>
              </w:rPr>
              <w:t xml:space="preserve">33,2 %</w:t>
            </w:r>
          </w:p>
        </w:tc>
      </w:tr>
    </w:tbl>
    <w:p>
      <w:pPr>
        <w:spacing w:after="120"/>
      </w:pPr>
      <w:r>
        <w:t xml:space="preserve"/>
      </w:r>
    </w:p>
    <w:p>
      <w:pPr>
        <w:spacing w:after="120" w:line="300"/>
        <w:jc w:val="center"/>
      </w:pPr>
      <w:r>
        <w:rPr>
          <w:rFonts w:ascii="Calibri" w:cs="Calibri" w:eastAsia="Calibri" w:hAnsi="Calibri"/>
          <w:b/>
          <w:bCs/>
          <w:color w:val="C0392B"/>
          <w:sz w:val="22"/>
          <w:szCs w:val="22"/>
        </w:rPr>
        <w:t xml:space="preserve">Minimum d'impôt applicable : 300 DT.</w:t>
      </w:r>
    </w:p>
    <w:p>
      <w:pPr>
        <w:spacing w:after="120"/>
      </w:pPr>
      <w:r>
        <w:t xml:space="preserve"/>
      </w:r>
    </w:p>
    <w:p>
      <w:pPr>
        <w:pStyle w:val="Heading2"/>
        <w:spacing w:after="140" w:before="280"/>
      </w:pPr>
      <w:r>
        <w:rPr>
          <w:rFonts w:ascii="Calibri" w:cs="Calibri" w:eastAsia="Calibri" w:hAnsi="Calibri"/>
          <w:b/>
          <w:bCs/>
          <w:color w:val="1F3A68"/>
          <w:sz w:val="28"/>
          <w:szCs w:val="28"/>
        </w:rPr>
        <w:t xml:space="preserve">6.3 Exemple détaillé — Régime réel personne physique</w:t>
      </w:r>
    </w:p>
    <w:p>
      <w:pPr>
        <w:spacing w:after="120" w:line="300"/>
        <w:jc w:val="both"/>
      </w:pPr>
      <w:r>
        <w:rPr>
          <w:rFonts w:ascii="Calibri" w:cs="Calibri" w:eastAsia="Calibri" w:hAnsi="Calibri"/>
          <w:sz w:val="22"/>
          <w:szCs w:val="22"/>
        </w:rPr>
        <w:t xml:space="preserve">Hypothèse : chiffre d'affaires HT de 100 000 DT, charges HT de 35 000 DT, soit un bénéfice de 65 000 DT avant abattements.</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6638"/>
        <w:gridCol w:w="3000"/>
      </w:tblGrid>
      <w:tr>
        <w:trPr>
          <w:tblHeader/>
        </w:trPr>
        <w:tc>
          <w:tcPr>
            <w:tcW w:type="dxa" w:w="6638"/>
            <w:tcBorders>
              <w:top w:val="single" w:color="B0B0B0" w:sz="4"/>
              <w:left w:val="single" w:color="B0B0B0" w:sz="4"/>
              <w:bottom w:val="single" w:color="B0B0B0" w:sz="4"/>
              <w:right w:val="single" w:color="B0B0B0" w:sz="4"/>
            </w:tcBorders>
            <w:shd w:fill="1F3A68" w:color="auto" w:val="clear"/>
            <w:tcMar>
              <w:top w:type="dxa" w:w="80"/>
              <w:left w:type="dxa" w:w="120"/>
              <w:bottom w:type="dxa" w:w="80"/>
              <w:right w:type="dxa" w:w="120"/>
            </w:tcMar>
            <w:vAlign w:val="center"/>
          </w:tcPr>
          <w:p>
            <w:pPr>
              <w:spacing w:after="0" w:line="280"/>
              <w:jc w:val="center"/>
            </w:pPr>
            <w:r>
              <w:rPr>
                <w:rFonts w:ascii="Calibri" w:cs="Calibri" w:eastAsia="Calibri" w:hAnsi="Calibri"/>
                <w:b/>
                <w:bCs/>
                <w:color w:val="FFFFFF"/>
                <w:sz w:val="20"/>
                <w:szCs w:val="20"/>
              </w:rPr>
              <w:t xml:space="preserve">Composante du calcul</w:t>
            </w:r>
          </w:p>
        </w:tc>
        <w:tc>
          <w:tcPr>
            <w:tcW w:type="dxa" w:w="3000"/>
            <w:tcBorders>
              <w:top w:val="single" w:color="B0B0B0" w:sz="4"/>
              <w:left w:val="single" w:color="B0B0B0" w:sz="4"/>
              <w:bottom w:val="single" w:color="B0B0B0" w:sz="4"/>
              <w:right w:val="single" w:color="B0B0B0" w:sz="4"/>
            </w:tcBorders>
            <w:shd w:fill="1F3A68" w:color="auto" w:val="clear"/>
            <w:tcMar>
              <w:top w:type="dxa" w:w="80"/>
              <w:left w:type="dxa" w:w="120"/>
              <w:bottom w:type="dxa" w:w="80"/>
              <w:right w:type="dxa" w:w="120"/>
            </w:tcMar>
            <w:vAlign w:val="center"/>
          </w:tcPr>
          <w:p>
            <w:pPr>
              <w:spacing w:after="0" w:line="280"/>
              <w:jc w:val="center"/>
            </w:pPr>
            <w:r>
              <w:rPr>
                <w:rFonts w:ascii="Calibri" w:cs="Calibri" w:eastAsia="Calibri" w:hAnsi="Calibri"/>
                <w:b/>
                <w:bCs/>
                <w:color w:val="FFFFFF"/>
                <w:sz w:val="20"/>
                <w:szCs w:val="20"/>
              </w:rPr>
              <w:t xml:space="preserve">Montant (DT)</w:t>
            </w:r>
          </w:p>
        </w:tc>
      </w:tr>
      <w:tr>
        <w:tc>
          <w:tcPr>
            <w:tcW w:type="dxa" w:w="6638"/>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b/>
                <w:bCs/>
                <w:sz w:val="20"/>
                <w:szCs w:val="20"/>
              </w:rPr>
              <w:t xml:space="preserve">Résultat fiscal (النتيجة الجبائية)</w:t>
            </w:r>
          </w:p>
        </w:tc>
        <w:tc>
          <w:tcPr>
            <w:tcW w:type="dxa" w:w="3000"/>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sz w:val="20"/>
                <w:szCs w:val="20"/>
              </w:rPr>
              <w:t xml:space="preserve">65 000,000</w:t>
            </w:r>
          </w:p>
        </w:tc>
      </w:tr>
      <w:tr>
        <w:tc>
          <w:tcPr>
            <w:tcW w:type="dxa" w:w="6638"/>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sz w:val="20"/>
                <w:szCs w:val="20"/>
              </w:rPr>
              <w:t xml:space="preserve">Déduction cotisation TNS CNSS CAT 05 (Tranches 1-2-3-4)</w:t>
            </w:r>
          </w:p>
        </w:tc>
        <w:tc>
          <w:tcPr>
            <w:tcW w:type="dxa" w:w="3000"/>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sz w:val="20"/>
                <w:szCs w:val="20"/>
              </w:rPr>
              <w:t xml:space="preserve">3 336,936</w:t>
            </w:r>
          </w:p>
        </w:tc>
      </w:tr>
      <w:tr>
        <w:tc>
          <w:tcPr>
            <w:tcW w:type="dxa" w:w="6638"/>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sz w:val="20"/>
                <w:szCs w:val="20"/>
              </w:rPr>
              <w:t xml:space="preserve">Abattement Chef de Famille</w:t>
            </w:r>
          </w:p>
        </w:tc>
        <w:tc>
          <w:tcPr>
            <w:tcW w:type="dxa" w:w="3000"/>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sz w:val="20"/>
                <w:szCs w:val="20"/>
              </w:rPr>
              <w:t xml:space="preserve">300,000</w:t>
            </w:r>
          </w:p>
        </w:tc>
      </w:tr>
      <w:tr>
        <w:tc>
          <w:tcPr>
            <w:tcW w:type="dxa" w:w="6638"/>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sz w:val="20"/>
                <w:szCs w:val="20"/>
              </w:rPr>
              <w:t xml:space="preserve">Abattement Enfant 1 (max 20 ans)</w:t>
            </w:r>
          </w:p>
        </w:tc>
        <w:tc>
          <w:tcPr>
            <w:tcW w:type="dxa" w:w="3000"/>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sz w:val="20"/>
                <w:szCs w:val="20"/>
              </w:rPr>
              <w:t xml:space="preserve">100,000</w:t>
            </w:r>
          </w:p>
        </w:tc>
      </w:tr>
      <w:tr>
        <w:tc>
          <w:tcPr>
            <w:tcW w:type="dxa" w:w="6638"/>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sz w:val="20"/>
                <w:szCs w:val="20"/>
              </w:rPr>
              <w:t xml:space="preserve">Abattement Enfant 2 (max 20 ans)</w:t>
            </w:r>
          </w:p>
        </w:tc>
        <w:tc>
          <w:tcPr>
            <w:tcW w:type="dxa" w:w="3000"/>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sz w:val="20"/>
                <w:szCs w:val="20"/>
              </w:rPr>
              <w:t xml:space="preserve">100,000</w:t>
            </w:r>
          </w:p>
        </w:tc>
      </w:tr>
      <w:tr>
        <w:tc>
          <w:tcPr>
            <w:tcW w:type="dxa" w:w="6638"/>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sz w:val="20"/>
                <w:szCs w:val="20"/>
              </w:rPr>
              <w:t xml:space="preserve">Abattement Enfant Handicapé (sans limite d'âge ni de rang)</w:t>
            </w:r>
          </w:p>
        </w:tc>
        <w:tc>
          <w:tcPr>
            <w:tcW w:type="dxa" w:w="3000"/>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sz w:val="20"/>
                <w:szCs w:val="20"/>
              </w:rPr>
              <w:t xml:space="preserve">2 000,000</w:t>
            </w:r>
          </w:p>
        </w:tc>
      </w:tr>
      <w:tr>
        <w:tc>
          <w:tcPr>
            <w:tcW w:type="dxa" w:w="6638"/>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sz w:val="20"/>
                <w:szCs w:val="20"/>
              </w:rPr>
              <w:t xml:space="preserve">Enfant &lt; 25 ans en enseignement supérieur sans bourse universitaire</w:t>
            </w:r>
          </w:p>
        </w:tc>
        <w:tc>
          <w:tcPr>
            <w:tcW w:type="dxa" w:w="3000"/>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sz w:val="20"/>
                <w:szCs w:val="20"/>
              </w:rPr>
              <w:t xml:space="preserve">1 000,000</w:t>
            </w:r>
          </w:p>
        </w:tc>
      </w:tr>
      <w:tr>
        <w:tc>
          <w:tcPr>
            <w:tcW w:type="dxa" w:w="6638"/>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sz w:val="20"/>
                <w:szCs w:val="20"/>
              </w:rPr>
              <w:t xml:space="preserve">Déduction parents à charge — plafond 450 DT par parent et par an</w:t>
            </w:r>
          </w:p>
        </w:tc>
        <w:tc>
          <w:tcPr>
            <w:tcW w:type="dxa" w:w="3000"/>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sz w:val="20"/>
                <w:szCs w:val="20"/>
              </w:rPr>
              <w:t xml:space="preserve">—</w:t>
            </w:r>
          </w:p>
        </w:tc>
      </w:tr>
      <w:tr>
        <w:tc>
          <w:tcPr>
            <w:tcW w:type="dxa" w:w="6638"/>
            <w:tcBorders>
              <w:top w:val="single" w:color="B0B0B0" w:sz="4"/>
              <w:left w:val="single" w:color="B0B0B0" w:sz="4"/>
              <w:bottom w:val="single" w:color="B0B0B0" w:sz="4"/>
              <w:right w:val="single" w:color="B0B0B0" w:sz="4"/>
            </w:tcBorders>
            <w:shd w:fill="FFFF00" w:color="auto" w:val="clear"/>
            <w:tcMar>
              <w:top w:type="dxa" w:w="80"/>
              <w:left w:type="dxa" w:w="120"/>
              <w:bottom w:type="dxa" w:w="80"/>
              <w:right w:type="dxa" w:w="120"/>
            </w:tcMar>
            <w:vAlign w:val="center"/>
          </w:tcPr>
          <w:p>
            <w:pPr>
              <w:spacing w:after="0" w:line="280"/>
              <w:jc w:val="left"/>
            </w:pPr>
            <w:r>
              <w:rPr>
                <w:rFonts w:ascii="Calibri" w:cs="Calibri" w:eastAsia="Calibri" w:hAnsi="Calibri"/>
                <w:b/>
                <w:bCs/>
                <w:sz w:val="20"/>
                <w:szCs w:val="20"/>
              </w:rPr>
              <w:t xml:space="preserve">Total des abattements</w:t>
            </w:r>
          </w:p>
        </w:tc>
        <w:tc>
          <w:tcPr>
            <w:tcW w:type="dxa" w:w="3000"/>
            <w:tcBorders>
              <w:top w:val="single" w:color="B0B0B0" w:sz="4"/>
              <w:left w:val="single" w:color="B0B0B0" w:sz="4"/>
              <w:bottom w:val="single" w:color="B0B0B0" w:sz="4"/>
              <w:right w:val="single" w:color="B0B0B0" w:sz="4"/>
            </w:tcBorders>
            <w:shd w:fill="FFFF00" w:color="auto" w:val="clear"/>
            <w:tcMar>
              <w:top w:type="dxa" w:w="80"/>
              <w:left w:type="dxa" w:w="120"/>
              <w:bottom w:type="dxa" w:w="80"/>
              <w:right w:type="dxa" w:w="120"/>
            </w:tcMar>
            <w:vAlign w:val="center"/>
          </w:tcPr>
          <w:p>
            <w:pPr>
              <w:spacing w:after="0" w:line="280"/>
              <w:jc w:val="center"/>
            </w:pPr>
            <w:r>
              <w:rPr>
                <w:rFonts w:ascii="Calibri" w:cs="Calibri" w:eastAsia="Calibri" w:hAnsi="Calibri"/>
                <w:b/>
                <w:bCs/>
                <w:sz w:val="20"/>
                <w:szCs w:val="20"/>
              </w:rPr>
              <w:t xml:space="preserve">3 636,936</w:t>
            </w:r>
          </w:p>
        </w:tc>
      </w:tr>
      <w:tr>
        <w:tc>
          <w:tcPr>
            <w:tcW w:type="dxa" w:w="6638"/>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b/>
                <w:bCs/>
                <w:sz w:val="20"/>
                <w:szCs w:val="20"/>
              </w:rPr>
              <w:t xml:space="preserve">Assiette imposable</w:t>
            </w:r>
          </w:p>
        </w:tc>
        <w:tc>
          <w:tcPr>
            <w:tcW w:type="dxa" w:w="3000"/>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b/>
                <w:bCs/>
                <w:sz w:val="20"/>
                <w:szCs w:val="20"/>
              </w:rPr>
              <w:t xml:space="preserve">61 363,064</w:t>
            </w:r>
          </w:p>
        </w:tc>
      </w:tr>
      <w:tr>
        <w:tc>
          <w:tcPr>
            <w:tcW w:type="dxa" w:w="6638"/>
            <w:tcBorders>
              <w:top w:val="single" w:color="B0B0B0" w:sz="4"/>
              <w:left w:val="single" w:color="B0B0B0" w:sz="4"/>
              <w:bottom w:val="single" w:color="B0B0B0" w:sz="4"/>
              <w:right w:val="single" w:color="B0B0B0" w:sz="4"/>
            </w:tcBorders>
            <w:shd w:fill="EAF1F8" w:color="auto" w:val="clear"/>
            <w:tcMar>
              <w:top w:type="dxa" w:w="80"/>
              <w:left w:type="dxa" w:w="120"/>
              <w:bottom w:type="dxa" w:w="80"/>
              <w:right w:type="dxa" w:w="120"/>
            </w:tcMar>
            <w:vAlign w:val="center"/>
          </w:tcPr>
          <w:p>
            <w:pPr>
              <w:spacing w:after="0" w:line="280"/>
              <w:jc w:val="left"/>
            </w:pPr>
            <w:r>
              <w:rPr>
                <w:rFonts w:ascii="Calibri" w:cs="Calibri" w:eastAsia="Calibri" w:hAnsi="Calibri"/>
                <w:b/>
                <w:bCs/>
                <w:sz w:val="20"/>
                <w:szCs w:val="20"/>
              </w:rPr>
              <w:t xml:space="preserve">Assiette arrondie</w:t>
            </w:r>
          </w:p>
        </w:tc>
        <w:tc>
          <w:tcPr>
            <w:tcW w:type="dxa" w:w="3000"/>
            <w:tcBorders>
              <w:top w:val="single" w:color="B0B0B0" w:sz="4"/>
              <w:left w:val="single" w:color="B0B0B0" w:sz="4"/>
              <w:bottom w:val="single" w:color="B0B0B0" w:sz="4"/>
              <w:right w:val="single" w:color="B0B0B0" w:sz="4"/>
            </w:tcBorders>
            <w:shd w:fill="EAF1F8" w:color="auto" w:val="clear"/>
            <w:tcMar>
              <w:top w:type="dxa" w:w="80"/>
              <w:left w:type="dxa" w:w="120"/>
              <w:bottom w:type="dxa" w:w="80"/>
              <w:right w:type="dxa" w:w="120"/>
            </w:tcMar>
            <w:vAlign w:val="center"/>
          </w:tcPr>
          <w:p>
            <w:pPr>
              <w:spacing w:after="0" w:line="280"/>
              <w:jc w:val="center"/>
            </w:pPr>
            <w:r>
              <w:rPr>
                <w:rFonts w:ascii="Calibri" w:cs="Calibri" w:eastAsia="Calibri" w:hAnsi="Calibri"/>
                <w:b/>
                <w:bCs/>
                <w:sz w:val="20"/>
                <w:szCs w:val="20"/>
              </w:rPr>
              <w:t xml:space="preserve">61 364,000</w:t>
            </w:r>
          </w:p>
        </w:tc>
      </w:tr>
    </w:tbl>
    <w:p>
      <w:pPr>
        <w:spacing w:after="120"/>
      </w:pPr>
      <w:r>
        <w:t xml:space="preserve"/>
      </w:r>
    </w:p>
    <w:p>
      <w:pPr>
        <w:spacing w:after="120" w:line="300"/>
        <w:jc w:val="both"/>
      </w:pPr>
      <w:r>
        <w:rPr>
          <w:rFonts w:ascii="Calibri" w:cs="Calibri" w:eastAsia="Calibri" w:hAnsi="Calibri"/>
          <w:i/>
          <w:iCs/>
          <w:color w:val="4A4A4A"/>
          <w:sz w:val="20"/>
          <w:szCs w:val="20"/>
        </w:rPr>
        <w:t xml:space="preserve">Pour les salariés, l'abattement de 10 % au titre des frais professionnels est plafonné à 2 000 DT (au lieu des déductions de cotisations CNSS prévues pour les non-salariés).</w:t>
      </w:r>
    </w:p>
    <w:p>
      <w:r>
        <w:br w:type="page"/>
      </w:r>
    </w:p>
    <w:p>
      <w:pPr>
        <w:pStyle w:val="Heading1"/>
        <w:spacing w:after="200" w:before="360"/>
      </w:pPr>
      <w:r>
        <w:rPr>
          <w:rFonts w:ascii="Calibri" w:cs="Calibri" w:eastAsia="Calibri" w:hAnsi="Calibri"/>
          <w:b/>
          <w:bCs/>
          <w:color w:val="1F3A68"/>
          <w:sz w:val="36"/>
          <w:szCs w:val="36"/>
        </w:rPr>
        <w:t xml:space="preserve">Partie 7 — Fiscalité de la personne morale</w:t>
      </w:r>
    </w:p>
    <w:p>
      <w:pPr>
        <w:spacing w:after="120" w:line="300"/>
        <w:jc w:val="both"/>
      </w:pPr>
      <w:r>
        <w:rPr>
          <w:rFonts w:ascii="Calibri" w:cs="Calibri" w:eastAsia="Calibri" w:hAnsi="Calibri"/>
          <w:sz w:val="22"/>
          <w:szCs w:val="22"/>
        </w:rPr>
        <w:t xml:space="preserve">Les sociétés (SARL, SUARL, SA, etc.) sont soumises à l'Impôt sur les Sociétés (IS), un impôt direct annuel. L'article 33 de la Loi de Finances 2025 a porté le taux d'IS de droit commun de 15 % à 20 %, applicable aux bénéfices réalisés à compter du 1er janvier 2024. Le barème final s'organise désormais en quatre niveaux (10 %, 20 %, 35 %, 40 %) selon le secteur d'activité.</w:t>
      </w:r>
      <w:r>
        <w:rPr>
          <w:rStyle w:val="FootnoteReference"/>
        </w:rPr>
        <w:footnoteReference w:id="26"/>
      </w:r>
    </w:p>
    <w:p>
      <w:pPr>
        <w:pStyle w:val="Heading2"/>
        <w:spacing w:after="140" w:before="280"/>
      </w:pPr>
      <w:r>
        <w:rPr>
          <w:rFonts w:ascii="Calibri" w:cs="Calibri" w:eastAsia="Calibri" w:hAnsi="Calibri"/>
          <w:b/>
          <w:bCs/>
          <w:color w:val="1F3A68"/>
          <w:sz w:val="28"/>
          <w:szCs w:val="28"/>
        </w:rPr>
        <w:t xml:space="preserve">7.1 Synthèse du régime fiscal des personnes morales</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tblHeader/>
        </w:trPr>
        <w:tc>
          <w:tcPr>
            <w:tcW w:type="dxa" w:w="9638"/>
            <w:tcBorders>
              <w:top w:val="single" w:color="B0B0B0" w:sz="4"/>
              <w:left w:val="single" w:color="B0B0B0" w:sz="4"/>
              <w:bottom w:val="single" w:color="B0B0B0" w:sz="4"/>
              <w:right w:val="single" w:color="B0B0B0" w:sz="4"/>
            </w:tcBorders>
            <w:shd w:fill="1F3A68" w:color="auto" w:val="clear"/>
            <w:tcMar>
              <w:top w:type="dxa" w:w="80"/>
              <w:left w:type="dxa" w:w="120"/>
              <w:bottom w:type="dxa" w:w="80"/>
              <w:right w:type="dxa" w:w="120"/>
            </w:tcMar>
            <w:vAlign w:val="center"/>
          </w:tcPr>
          <w:p>
            <w:pPr>
              <w:spacing w:after="0" w:line="280"/>
              <w:jc w:val="center"/>
            </w:pPr>
            <w:r>
              <w:rPr>
                <w:rFonts w:ascii="Calibri" w:cs="Calibri" w:eastAsia="Calibri" w:hAnsi="Calibri"/>
                <w:b/>
                <w:bCs/>
                <w:color w:val="FFFFFF"/>
                <w:sz w:val="20"/>
                <w:szCs w:val="20"/>
              </w:rPr>
              <w:t xml:space="preserve">Personne Morale</w:t>
            </w:r>
          </w:p>
        </w:tc>
      </w:tr>
      <w:tr>
        <w:tc>
          <w:tcPr>
            <w:tcW w:type="dxa" w:w="9638"/>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sz w:val="20"/>
                <w:szCs w:val="20"/>
              </w:rPr>
              <w:t xml:space="preserve">Société Unipersonnelle à Responsabilité Limitée (SUARL)</w:t>
            </w:r>
          </w:p>
        </w:tc>
      </w:tr>
      <w:tr>
        <w:tc>
          <w:tcPr>
            <w:tcW w:type="dxa" w:w="9638"/>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sz w:val="20"/>
                <w:szCs w:val="20"/>
              </w:rPr>
              <w:t xml:space="preserve">Société à Responsabilité Limitée (SARL)</w:t>
            </w:r>
          </w:p>
        </w:tc>
      </w:tr>
      <w:tr>
        <w:tc>
          <w:tcPr>
            <w:tcW w:type="dxa" w:w="9638"/>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b/>
                <w:bCs/>
                <w:color w:val="C0392B"/>
                <w:sz w:val="20"/>
                <w:szCs w:val="20"/>
              </w:rPr>
              <w:t xml:space="preserve">Impôt direct annuel : IS (Impôt sur les Sociétés)</w:t>
            </w:r>
          </w:p>
        </w:tc>
      </w:tr>
      <w:tr>
        <w:tc>
          <w:tcPr>
            <w:tcW w:type="dxa" w:w="9638"/>
            <w:tcBorders>
              <w:top w:val="single" w:color="B0B0B0" w:sz="4"/>
              <w:left w:val="single" w:color="B0B0B0" w:sz="4"/>
              <w:bottom w:val="single" w:color="B0B0B0" w:sz="4"/>
              <w:right w:val="single" w:color="B0B0B0" w:sz="4"/>
            </w:tcBorders>
            <w:shd w:fill="1F3A68" w:color="auto" w:val="clear"/>
            <w:tcMar>
              <w:top w:type="dxa" w:w="80"/>
              <w:left w:type="dxa" w:w="120"/>
              <w:bottom w:type="dxa" w:w="80"/>
              <w:right w:type="dxa" w:w="120"/>
            </w:tcMar>
            <w:vAlign w:val="center"/>
          </w:tcPr>
          <w:p>
            <w:pPr>
              <w:spacing w:after="0" w:line="280"/>
              <w:jc w:val="center"/>
            </w:pPr>
            <w:r>
              <w:rPr>
                <w:rFonts w:ascii="Calibri" w:cs="Calibri" w:eastAsia="Calibri" w:hAnsi="Calibri"/>
                <w:b/>
                <w:bCs/>
                <w:color w:val="FFFFFF"/>
                <w:sz w:val="20"/>
                <w:szCs w:val="20"/>
              </w:rPr>
              <w:t xml:space="preserve">Régime fiscal</w:t>
            </w:r>
          </w:p>
        </w:tc>
      </w:tr>
      <w:tr>
        <w:tc>
          <w:tcPr>
            <w:tcW w:type="dxa" w:w="9638"/>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b/>
                <w:bCs/>
                <w:color w:val="C0392B"/>
                <w:sz w:val="20"/>
                <w:szCs w:val="20"/>
              </w:rPr>
              <w:t xml:space="preserve">Réel</w:t>
            </w:r>
          </w:p>
        </w:tc>
      </w:tr>
      <w:tr>
        <w:tc>
          <w:tcPr>
            <w:tcW w:type="dxa" w:w="9638"/>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sz w:val="20"/>
                <w:szCs w:val="20"/>
              </w:rPr>
              <w:t xml:space="preserve">Soumis à la comptabilité</w:t>
            </w:r>
          </w:p>
        </w:tc>
      </w:tr>
      <w:tr>
        <w:tc>
          <w:tcPr>
            <w:tcW w:type="dxa" w:w="9638"/>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sz w:val="20"/>
                <w:szCs w:val="20"/>
              </w:rPr>
              <w:t xml:space="preserve">Base imposable : résultat fiscal IS</w:t>
            </w:r>
          </w:p>
        </w:tc>
      </w:tr>
      <w:tr>
        <w:tc>
          <w:tcPr>
            <w:tcW w:type="dxa" w:w="9638"/>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sz w:val="20"/>
                <w:szCs w:val="20"/>
              </w:rPr>
              <w:t xml:space="preserve">Taux d'IS variable selon le secteur d'activité (10/20/35/40 %)</w:t>
            </w:r>
          </w:p>
        </w:tc>
      </w:tr>
    </w:tbl>
    <w:p>
      <w:pPr>
        <w:spacing w:after="240"/>
      </w:pPr>
      <w:r>
        <w:t xml:space="preserve"/>
      </w:r>
    </w:p>
    <w:p>
      <w:pPr>
        <w:pStyle w:val="Heading2"/>
        <w:spacing w:after="140" w:before="280"/>
      </w:pPr>
      <w:r>
        <w:rPr>
          <w:rFonts w:ascii="Calibri" w:cs="Calibri" w:eastAsia="Calibri" w:hAnsi="Calibri"/>
          <w:b/>
          <w:bCs/>
          <w:color w:val="1F3A68"/>
          <w:sz w:val="28"/>
          <w:szCs w:val="28"/>
        </w:rPr>
        <w:t xml:space="preserve">7.2 Les taux d'IS applicables par secteur</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700"/>
        <w:gridCol w:w="1984"/>
        <w:gridCol w:w="1984"/>
        <w:gridCol w:w="1985"/>
        <w:gridCol w:w="1985"/>
      </w:tblGrid>
      <w:tr>
        <w:trPr>
          <w:tblHeader/>
        </w:trPr>
        <w:tc>
          <w:tcPr>
            <w:tcW w:type="dxa" w:w="1700"/>
            <w:tcBorders>
              <w:top w:val="single" w:color="B0B0B0" w:sz="4"/>
              <w:left w:val="single" w:color="B0B0B0" w:sz="4"/>
              <w:bottom w:val="single" w:color="B0B0B0" w:sz="4"/>
              <w:right w:val="single" w:color="B0B0B0" w:sz="4"/>
            </w:tcBorders>
            <w:shd w:fill="1F3A68" w:color="auto" w:val="clear"/>
            <w:tcMar>
              <w:top w:type="dxa" w:w="80"/>
              <w:left w:type="dxa" w:w="120"/>
              <w:bottom w:type="dxa" w:w="80"/>
              <w:right w:type="dxa" w:w="120"/>
            </w:tcMar>
            <w:vAlign w:val="center"/>
          </w:tcPr>
          <w:p>
            <w:pPr>
              <w:spacing w:after="0" w:line="280"/>
              <w:jc w:val="center"/>
            </w:pPr>
            <w:r>
              <w:rPr>
                <w:rFonts w:ascii="Calibri" w:cs="Calibri" w:eastAsia="Calibri" w:hAnsi="Calibri"/>
                <w:b/>
                <w:bCs/>
                <w:color w:val="FFFFFF"/>
                <w:sz w:val="20"/>
                <w:szCs w:val="20"/>
              </w:rPr>
              <w:t xml:space="preserve">Taux d'IS</w:t>
            </w:r>
          </w:p>
        </w:tc>
        <w:tc>
          <w:tcPr>
            <w:tcW w:type="dxa" w:w="1984"/>
            <w:tcBorders>
              <w:top w:val="single" w:color="B0B0B0" w:sz="4"/>
              <w:left w:val="single" w:color="B0B0B0" w:sz="4"/>
              <w:bottom w:val="single" w:color="B0B0B0" w:sz="4"/>
              <w:right w:val="single" w:color="B0B0B0" w:sz="4"/>
            </w:tcBorders>
            <w:shd w:fill="1F3A68" w:color="auto" w:val="clear"/>
            <w:tcMar>
              <w:top w:type="dxa" w:w="80"/>
              <w:left w:type="dxa" w:w="120"/>
              <w:bottom w:type="dxa" w:w="80"/>
              <w:right w:type="dxa" w:w="120"/>
            </w:tcMar>
            <w:vAlign w:val="center"/>
          </w:tcPr>
          <w:p>
            <w:pPr>
              <w:spacing w:after="0" w:line="280"/>
              <w:jc w:val="center"/>
            </w:pPr>
            <w:r>
              <w:rPr>
                <w:rFonts w:ascii="Calibri" w:cs="Calibri" w:eastAsia="Calibri" w:hAnsi="Calibri"/>
                <w:b/>
                <w:bCs/>
                <w:color w:val="FFFFFF"/>
                <w:sz w:val="20"/>
                <w:szCs w:val="20"/>
              </w:rPr>
              <w:t xml:space="preserve">10 %</w:t>
            </w:r>
          </w:p>
        </w:tc>
        <w:tc>
          <w:tcPr>
            <w:tcW w:type="dxa" w:w="1984"/>
            <w:tcBorders>
              <w:top w:val="single" w:color="B0B0B0" w:sz="4"/>
              <w:left w:val="single" w:color="B0B0B0" w:sz="4"/>
              <w:bottom w:val="single" w:color="B0B0B0" w:sz="4"/>
              <w:right w:val="single" w:color="B0B0B0" w:sz="4"/>
            </w:tcBorders>
            <w:shd w:fill="1F3A68" w:color="auto" w:val="clear"/>
            <w:tcMar>
              <w:top w:type="dxa" w:w="80"/>
              <w:left w:type="dxa" w:w="120"/>
              <w:bottom w:type="dxa" w:w="80"/>
              <w:right w:type="dxa" w:w="120"/>
            </w:tcMar>
            <w:vAlign w:val="center"/>
          </w:tcPr>
          <w:p>
            <w:pPr>
              <w:spacing w:after="0" w:line="280"/>
              <w:jc w:val="center"/>
            </w:pPr>
            <w:r>
              <w:rPr>
                <w:rFonts w:ascii="Calibri" w:cs="Calibri" w:eastAsia="Calibri" w:hAnsi="Calibri"/>
                <w:b/>
                <w:bCs/>
                <w:color w:val="FFFFFF"/>
                <w:sz w:val="20"/>
                <w:szCs w:val="20"/>
              </w:rPr>
              <w:t xml:space="preserve">20 %</w:t>
            </w:r>
          </w:p>
        </w:tc>
        <w:tc>
          <w:tcPr>
            <w:tcW w:type="dxa" w:w="1985"/>
            <w:tcBorders>
              <w:top w:val="single" w:color="B0B0B0" w:sz="4"/>
              <w:left w:val="single" w:color="B0B0B0" w:sz="4"/>
              <w:bottom w:val="single" w:color="B0B0B0" w:sz="4"/>
              <w:right w:val="single" w:color="B0B0B0" w:sz="4"/>
            </w:tcBorders>
            <w:shd w:fill="1F3A68" w:color="auto" w:val="clear"/>
            <w:tcMar>
              <w:top w:type="dxa" w:w="80"/>
              <w:left w:type="dxa" w:w="120"/>
              <w:bottom w:type="dxa" w:w="80"/>
              <w:right w:type="dxa" w:w="120"/>
            </w:tcMar>
            <w:vAlign w:val="center"/>
          </w:tcPr>
          <w:p>
            <w:pPr>
              <w:spacing w:after="0" w:line="280"/>
              <w:jc w:val="center"/>
            </w:pPr>
            <w:r>
              <w:rPr>
                <w:rFonts w:ascii="Calibri" w:cs="Calibri" w:eastAsia="Calibri" w:hAnsi="Calibri"/>
                <w:b/>
                <w:bCs/>
                <w:color w:val="FFFFFF"/>
                <w:sz w:val="20"/>
                <w:szCs w:val="20"/>
              </w:rPr>
              <w:t xml:space="preserve">35 %</w:t>
            </w:r>
          </w:p>
        </w:tc>
        <w:tc>
          <w:tcPr>
            <w:tcW w:type="dxa" w:w="1985"/>
            <w:tcBorders>
              <w:top w:val="single" w:color="B0B0B0" w:sz="4"/>
              <w:left w:val="single" w:color="B0B0B0" w:sz="4"/>
              <w:bottom w:val="single" w:color="B0B0B0" w:sz="4"/>
              <w:right w:val="single" w:color="B0B0B0" w:sz="4"/>
            </w:tcBorders>
            <w:shd w:fill="1F3A68" w:color="auto" w:val="clear"/>
            <w:tcMar>
              <w:top w:type="dxa" w:w="80"/>
              <w:left w:type="dxa" w:w="120"/>
              <w:bottom w:type="dxa" w:w="80"/>
              <w:right w:type="dxa" w:w="120"/>
            </w:tcMar>
            <w:vAlign w:val="center"/>
          </w:tcPr>
          <w:p>
            <w:pPr>
              <w:spacing w:after="0" w:line="280"/>
              <w:jc w:val="center"/>
            </w:pPr>
            <w:r>
              <w:rPr>
                <w:rFonts w:ascii="Calibri" w:cs="Calibri" w:eastAsia="Calibri" w:hAnsi="Calibri"/>
                <w:b/>
                <w:bCs/>
                <w:color w:val="FFFFFF"/>
                <w:sz w:val="20"/>
                <w:szCs w:val="20"/>
              </w:rPr>
              <w:t xml:space="preserve">40 %</w:t>
            </w:r>
          </w:p>
        </w:tc>
      </w:tr>
      <w:tr>
        <w:tc>
          <w:tcPr>
            <w:tcW w:type="dxa" w:w="1700"/>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b/>
                <w:bCs/>
                <w:color w:val="1F3A68"/>
                <w:sz w:val="20"/>
                <w:szCs w:val="20"/>
              </w:rPr>
              <w:t xml:space="preserve">Secteurs d'activité</w:t>
            </w:r>
          </w:p>
        </w:tc>
        <w:tc>
          <w:tcPr>
            <w:tcW w:type="dxa" w:w="1984"/>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sz w:val="18"/>
                <w:szCs w:val="18"/>
              </w:rPr>
              <w:t xml:space="preserve">Agriculture</w:t>
            </w:r>
          </w:p>
          <w:p>
            <w:pPr>
              <w:spacing w:after="0" w:line="280"/>
              <w:jc w:val="left"/>
            </w:pPr>
            <w:r>
              <w:rPr>
                <w:rFonts w:ascii="Calibri" w:cs="Calibri" w:eastAsia="Calibri" w:hAnsi="Calibri"/>
                <w:sz w:val="18"/>
                <w:szCs w:val="18"/>
              </w:rPr>
              <w:t xml:space="preserve">Pêche</w:t>
            </w:r>
          </w:p>
          <w:p>
            <w:pPr>
              <w:spacing w:after="0" w:line="280"/>
              <w:jc w:val="left"/>
            </w:pPr>
            <w:r>
              <w:rPr>
                <w:rFonts w:ascii="Calibri" w:cs="Calibri" w:eastAsia="Calibri" w:hAnsi="Calibri"/>
                <w:sz w:val="18"/>
                <w:szCs w:val="18"/>
              </w:rPr>
              <w:t xml:space="preserve">Développement régional</w:t>
            </w:r>
          </w:p>
          <w:p>
            <w:pPr>
              <w:spacing w:after="0" w:line="280"/>
              <w:jc w:val="left"/>
            </w:pPr>
            <w:r>
              <w:rPr>
                <w:rFonts w:ascii="Calibri" w:cs="Calibri" w:eastAsia="Calibri" w:hAnsi="Calibri"/>
                <w:sz w:val="18"/>
                <w:szCs w:val="18"/>
              </w:rPr>
              <w:t xml:space="preserve">Activités de soutien et de lutte contre la pollution</w:t>
            </w:r>
          </w:p>
          <w:p>
            <w:pPr>
              <w:spacing w:after="0" w:line="280"/>
              <w:jc w:val="left"/>
            </w:pPr>
            <w:r>
              <w:rPr>
                <w:rFonts w:ascii="Calibri" w:cs="Calibri" w:eastAsia="Calibri" w:hAnsi="Calibri"/>
                <w:sz w:val="18"/>
                <w:szCs w:val="18"/>
              </w:rPr>
              <w:t xml:space="preserve">Artisanat</w:t>
            </w:r>
          </w:p>
        </w:tc>
        <w:tc>
          <w:tcPr>
            <w:tcW w:type="dxa" w:w="1984"/>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sz w:val="18"/>
                <w:szCs w:val="18"/>
              </w:rPr>
              <w:t xml:space="preserve">Les secteurs d'activité non concernés par les taux de 10 %, 35 % et 40 %.</w:t>
            </w:r>
          </w:p>
        </w:tc>
        <w:tc>
          <w:tcPr>
            <w:tcW w:type="dxa" w:w="1985"/>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sz w:val="18"/>
                <w:szCs w:val="18"/>
              </w:rPr>
              <w:t xml:space="preserve">Télécommunications</w:t>
            </w:r>
          </w:p>
          <w:p>
            <w:pPr>
              <w:spacing w:after="0" w:line="280"/>
              <w:jc w:val="left"/>
            </w:pPr>
            <w:r>
              <w:rPr>
                <w:rFonts w:ascii="Calibri" w:cs="Calibri" w:eastAsia="Calibri" w:hAnsi="Calibri"/>
                <w:sz w:val="18"/>
                <w:szCs w:val="18"/>
              </w:rPr>
              <w:t xml:space="preserve">Sociétés d'investissements</w:t>
            </w:r>
          </w:p>
          <w:p>
            <w:pPr>
              <w:spacing w:after="0" w:line="280"/>
              <w:jc w:val="left"/>
            </w:pPr>
            <w:r>
              <w:rPr>
                <w:rFonts w:ascii="Calibri" w:cs="Calibri" w:eastAsia="Calibri" w:hAnsi="Calibri"/>
                <w:sz w:val="18"/>
                <w:szCs w:val="18"/>
              </w:rPr>
              <w:t xml:space="preserve">Recouvrement</w:t>
            </w:r>
          </w:p>
          <w:p>
            <w:pPr>
              <w:spacing w:after="0" w:line="280"/>
              <w:jc w:val="left"/>
            </w:pPr>
            <w:r>
              <w:rPr>
                <w:rFonts w:ascii="Calibri" w:cs="Calibri" w:eastAsia="Calibri" w:hAnsi="Calibri"/>
                <w:sz w:val="18"/>
                <w:szCs w:val="18"/>
              </w:rPr>
              <w:t xml:space="preserve">Énergies</w:t>
            </w:r>
          </w:p>
          <w:p>
            <w:pPr>
              <w:spacing w:after="0" w:line="280"/>
              <w:jc w:val="left"/>
            </w:pPr>
            <w:r>
              <w:rPr>
                <w:rFonts w:ascii="Calibri" w:cs="Calibri" w:eastAsia="Calibri" w:hAnsi="Calibri"/>
                <w:sz w:val="18"/>
                <w:szCs w:val="18"/>
              </w:rPr>
              <w:t xml:space="preserve">Grandes surfaces</w:t>
            </w:r>
          </w:p>
          <w:p>
            <w:pPr>
              <w:spacing w:after="0" w:line="280"/>
              <w:jc w:val="left"/>
            </w:pPr>
            <w:r>
              <w:rPr>
                <w:rFonts w:ascii="Calibri" w:cs="Calibri" w:eastAsia="Calibri" w:hAnsi="Calibri"/>
                <w:sz w:val="18"/>
                <w:szCs w:val="18"/>
              </w:rPr>
              <w:t xml:space="preserve">Concessionnaires automobiles</w:t>
            </w:r>
          </w:p>
          <w:p>
            <w:pPr>
              <w:spacing w:after="0" w:line="280"/>
              <w:jc w:val="left"/>
            </w:pPr>
            <w:r>
              <w:rPr>
                <w:rFonts w:ascii="Calibri" w:cs="Calibri" w:eastAsia="Calibri" w:hAnsi="Calibri"/>
                <w:sz w:val="18"/>
                <w:szCs w:val="18"/>
              </w:rPr>
              <w:t xml:space="preserve">Franchises</w:t>
            </w:r>
          </w:p>
        </w:tc>
        <w:tc>
          <w:tcPr>
            <w:tcW w:type="dxa" w:w="1985"/>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sz w:val="18"/>
                <w:szCs w:val="18"/>
              </w:rPr>
              <w:t xml:space="preserve">Secteur financier</w:t>
            </w:r>
          </w:p>
          <w:p>
            <w:pPr>
              <w:spacing w:after="0" w:line="280"/>
              <w:jc w:val="left"/>
            </w:pPr>
            <w:r>
              <w:rPr>
                <w:rFonts w:ascii="Calibri" w:cs="Calibri" w:eastAsia="Calibri" w:hAnsi="Calibri"/>
                <w:sz w:val="18"/>
                <w:szCs w:val="18"/>
              </w:rPr>
              <w:t xml:space="preserve">Établissements d'assurances et de réassurances</w:t>
            </w:r>
          </w:p>
        </w:tc>
      </w:tr>
    </w:tbl>
    <w:p>
      <w:pPr>
        <w:spacing w:after="120"/>
      </w:pPr>
      <w: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1F3A68" w:sz="8"/>
              <w:left w:val="single" w:color="1F3A68" w:sz="18"/>
              <w:bottom w:val="single" w:color="1F3A68" w:sz="8"/>
              <w:right w:val="single" w:color="1F3A68" w:sz="8"/>
            </w:tcBorders>
            <w:shd w:fill="F4F8FC" w:color="auto" w:val="clear"/>
            <w:tcMar>
              <w:top w:type="dxa" w:w="160"/>
              <w:left w:type="dxa" w:w="220"/>
              <w:bottom w:type="dxa" w:w="160"/>
              <w:right w:type="dxa" w:w="200"/>
            </w:tcMar>
          </w:tcPr>
          <w:p>
            <w:pPr>
              <w:spacing w:after="80"/>
            </w:pPr>
            <w:r>
              <w:rPr>
                <w:rFonts w:ascii="Calibri" w:cs="Calibri" w:eastAsia="Calibri" w:hAnsi="Calibri"/>
                <w:b/>
                <w:bCs/>
                <w:color w:val="1F3A68"/>
                <w:sz w:val="22"/>
                <w:szCs w:val="22"/>
              </w:rPr>
              <w:t xml:space="preserve">Précisions importantes</w:t>
            </w:r>
          </w:p>
          <w:p>
            <w:pPr>
              <w:spacing w:after="60" w:line="280"/>
            </w:pPr>
            <w:r>
              <w:rPr>
                <w:rFonts w:ascii="Calibri" w:cs="Calibri" w:eastAsia="Calibri" w:hAnsi="Calibri"/>
                <w:color w:val="4A4A4A"/>
                <w:sz w:val="20"/>
                <w:szCs w:val="20"/>
              </w:rPr>
              <w:t xml:space="preserve">• Lorsque le taux d'intégration locale ≥ 30 %, le franchisé peut être soumis au taux normal d'IS, désormais fixé à 20 % (au lieu du taux majoré 35 %).</w:t>
            </w:r>
          </w:p>
          <w:p>
            <w:pPr>
              <w:spacing w:after="60" w:line="280"/>
            </w:pPr>
            <w:r>
              <w:rPr>
                <w:rFonts w:ascii="Calibri" w:cs="Calibri" w:eastAsia="Calibri" w:hAnsi="Calibri"/>
                <w:color w:val="4A4A4A"/>
                <w:sz w:val="20"/>
                <w:szCs w:val="20"/>
              </w:rPr>
              <w:t xml:space="preserve">• Une réduction de 20 % du taux d'IS est accordée aux sociétés cotées en Bourse des Valeurs Mobilières de Tunis, pendant 5 ans à compter de l'introduction.</w:t>
            </w:r>
          </w:p>
          <w:p>
            <w:pPr>
              <w:spacing w:after="60" w:line="280"/>
            </w:pPr>
            <w:r>
              <w:rPr>
                <w:rFonts w:ascii="Calibri" w:cs="Calibri" w:eastAsia="Calibri" w:hAnsi="Calibri"/>
                <w:color w:val="4A4A4A"/>
                <w:sz w:val="20"/>
                <w:szCs w:val="20"/>
              </w:rPr>
              <w:t xml:space="preserve">• L'Institut Arabe des Chefs d'Entreprises (IACE) a proposé pour la LF 2026 un taux d'IS préférentiel à 15 % pour l'industrie ; cette mesure n'a pas été adoptée à ce stade.</w:t>
            </w:r>
          </w:p>
        </w:tc>
      </w:tr>
    </w:tbl>
    <w:p>
      <w:pPr>
        <w:spacing w:after="80"/>
      </w:pPr>
      <w:r>
        <w:t xml:space="preserve"/>
      </w:r>
    </w:p>
    <w:p>
      <w:pPr>
        <w:spacing w:after="120" w:line="300"/>
        <w:jc w:val="both"/>
      </w:pPr>
      <w:r>
        <w:rPr>
          <w:rFonts w:ascii="Calibri" w:cs="Calibri" w:eastAsia="Calibri" w:hAnsi="Calibri"/>
          <w:i/>
          <w:iCs/>
          <w:color w:val="4A4A4A"/>
          <w:sz w:val="18"/>
          <w:szCs w:val="18"/>
        </w:rPr>
        <w:t xml:space="preserve">Sources : </w:t>
      </w:r>
      <w:r>
        <w:rPr>
          <w:rFonts w:ascii="Calibri" w:cs="Calibri" w:eastAsia="Calibri" w:hAnsi="Calibri"/>
          <w:sz w:val="18"/>
          <w:szCs w:val="18"/>
        </w:rPr>
        <w:t xml:space="preserve">Synergie-AC</w:t>
      </w:r>
      <w:r>
        <w:rPr>
          <w:rStyle w:val="FootnoteReference"/>
        </w:rPr>
        <w:footnoteReference w:id="27"/>
      </w:r>
      <w:r>
        <w:rPr>
          <w:rFonts w:ascii="Calibri" w:cs="Calibri" w:eastAsia="Calibri" w:hAnsi="Calibri"/>
          <w:sz w:val="18"/>
          <w:szCs w:val="18"/>
        </w:rPr>
        <w:t xml:space="preserve"> · Trading Economics</w:t>
      </w:r>
      <w:r>
        <w:rPr>
          <w:rStyle w:val="FootnoteReference"/>
        </w:rPr>
        <w:footnoteReference w:id="28"/>
      </w:r>
      <w:r>
        <w:rPr>
          <w:rFonts w:ascii="Calibri" w:cs="Calibri" w:eastAsia="Calibri" w:hAnsi="Calibri"/>
          <w:sz w:val="18"/>
          <w:szCs w:val="18"/>
        </w:rPr>
        <w:t xml:space="preserve"> · IACE (LF 2026)</w:t>
      </w:r>
      <w:r>
        <w:rPr>
          <w:rStyle w:val="FootnoteReference"/>
        </w:rPr>
        <w:footnoteReference w:id="29"/>
      </w:r>
      <w:r>
        <w:rPr>
          <w:rFonts w:ascii="Calibri" w:cs="Calibri" w:eastAsia="Calibri" w:hAnsi="Calibri"/>
          <w:sz w:val="18"/>
          <w:szCs w:val="18"/>
        </w:rPr>
        <w:t xml:space="preserve">.</w:t>
      </w:r>
    </w:p>
    <w:p>
      <w:pPr>
        <w:spacing w:after="200"/>
      </w:pPr>
      <w:r>
        <w:t xml:space="preserve"/>
      </w:r>
    </w:p>
    <w:p>
      <w:pPr>
        <w:pStyle w:val="Heading2"/>
        <w:spacing w:after="140" w:before="280"/>
      </w:pPr>
      <w:r>
        <w:rPr>
          <w:rFonts w:ascii="Calibri" w:cs="Calibri" w:eastAsia="Calibri" w:hAnsi="Calibri"/>
          <w:b/>
          <w:bCs/>
          <w:color w:val="1F3A68"/>
          <w:sz w:val="28"/>
          <w:szCs w:val="28"/>
        </w:rPr>
        <w:t xml:space="preserve">7.3 CSS et minimum d'impôt pour les sociétés</w:t>
      </w:r>
    </w:p>
    <w:p>
      <w:pPr>
        <w:spacing w:after="120" w:line="300"/>
        <w:jc w:val="both"/>
      </w:pPr>
      <w:r>
        <w:rPr>
          <w:rFonts w:ascii="Calibri" w:cs="Calibri" w:eastAsia="Calibri" w:hAnsi="Calibri"/>
          <w:sz w:val="22"/>
          <w:szCs w:val="22"/>
        </w:rPr>
        <w:t xml:space="preserve">Les personnes morales sont soumises à une CSS majorée — 4 % ou 3 % des bénéfices imposables selon leur taux d'IS — ainsi qu'à un minimum d'impôt fixe :</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638"/>
        <w:gridCol w:w="2000"/>
        <w:gridCol w:w="2000"/>
      </w:tblGrid>
      <w:tr>
        <w:trPr>
          <w:tblHeader/>
        </w:trPr>
        <w:tc>
          <w:tcPr>
            <w:tcW w:type="dxa" w:w="5638"/>
            <w:tcBorders>
              <w:top w:val="single" w:color="B0B0B0" w:sz="4"/>
              <w:left w:val="single" w:color="B0B0B0" w:sz="4"/>
              <w:bottom w:val="single" w:color="B0B0B0" w:sz="4"/>
              <w:right w:val="single" w:color="B0B0B0" w:sz="4"/>
            </w:tcBorders>
            <w:shd w:fill="1F3A68" w:color="auto" w:val="clear"/>
            <w:tcMar>
              <w:top w:type="dxa" w:w="80"/>
              <w:left w:type="dxa" w:w="120"/>
              <w:bottom w:type="dxa" w:w="80"/>
              <w:right w:type="dxa" w:w="120"/>
            </w:tcMar>
            <w:vAlign w:val="center"/>
          </w:tcPr>
          <w:p>
            <w:pPr>
              <w:spacing w:after="0" w:line="280"/>
              <w:jc w:val="center"/>
            </w:pPr>
            <w:r>
              <w:rPr>
                <w:rFonts w:ascii="Calibri" w:cs="Calibri" w:eastAsia="Calibri" w:hAnsi="Calibri"/>
                <w:b/>
                <w:bCs/>
                <w:color w:val="FFFFFF"/>
                <w:sz w:val="20"/>
                <w:szCs w:val="20"/>
              </w:rPr>
              <w:t xml:space="preserve">Catégorie de société</w:t>
            </w:r>
          </w:p>
        </w:tc>
        <w:tc>
          <w:tcPr>
            <w:tcW w:type="dxa" w:w="2000"/>
            <w:tcBorders>
              <w:top w:val="single" w:color="B0B0B0" w:sz="4"/>
              <w:left w:val="single" w:color="B0B0B0" w:sz="4"/>
              <w:bottom w:val="single" w:color="B0B0B0" w:sz="4"/>
              <w:right w:val="single" w:color="B0B0B0" w:sz="4"/>
            </w:tcBorders>
            <w:shd w:fill="1F3A68" w:color="auto" w:val="clear"/>
            <w:tcMar>
              <w:top w:type="dxa" w:w="80"/>
              <w:left w:type="dxa" w:w="120"/>
              <w:bottom w:type="dxa" w:w="80"/>
              <w:right w:type="dxa" w:w="120"/>
            </w:tcMar>
            <w:vAlign w:val="center"/>
          </w:tcPr>
          <w:p>
            <w:pPr>
              <w:spacing w:after="0" w:line="280"/>
              <w:jc w:val="center"/>
            </w:pPr>
            <w:r>
              <w:rPr>
                <w:rFonts w:ascii="Calibri" w:cs="Calibri" w:eastAsia="Calibri" w:hAnsi="Calibri"/>
                <w:b/>
                <w:bCs/>
                <w:color w:val="FFFFFF"/>
                <w:sz w:val="20"/>
                <w:szCs w:val="20"/>
              </w:rPr>
              <w:t xml:space="preserve">Taux CSS</w:t>
            </w:r>
          </w:p>
        </w:tc>
        <w:tc>
          <w:tcPr>
            <w:tcW w:type="dxa" w:w="2000"/>
            <w:tcBorders>
              <w:top w:val="single" w:color="B0B0B0" w:sz="4"/>
              <w:left w:val="single" w:color="B0B0B0" w:sz="4"/>
              <w:bottom w:val="single" w:color="B0B0B0" w:sz="4"/>
              <w:right w:val="single" w:color="B0B0B0" w:sz="4"/>
            </w:tcBorders>
            <w:shd w:fill="1F3A68" w:color="auto" w:val="clear"/>
            <w:tcMar>
              <w:top w:type="dxa" w:w="80"/>
              <w:left w:type="dxa" w:w="120"/>
              <w:bottom w:type="dxa" w:w="80"/>
              <w:right w:type="dxa" w:w="120"/>
            </w:tcMar>
            <w:vAlign w:val="center"/>
          </w:tcPr>
          <w:p>
            <w:pPr>
              <w:spacing w:after="0" w:line="280"/>
              <w:jc w:val="center"/>
            </w:pPr>
            <w:r>
              <w:rPr>
                <w:rFonts w:ascii="Calibri" w:cs="Calibri" w:eastAsia="Calibri" w:hAnsi="Calibri"/>
                <w:b/>
                <w:bCs/>
                <w:color w:val="FFFFFF"/>
                <w:sz w:val="20"/>
                <w:szCs w:val="20"/>
              </w:rPr>
              <w:t xml:space="preserve">Minimum (DT)</w:t>
            </w:r>
          </w:p>
        </w:tc>
      </w:tr>
      <w:tr>
        <w:tc>
          <w:tcPr>
            <w:tcW w:type="dxa" w:w="5638"/>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sz w:val="20"/>
                <w:szCs w:val="20"/>
              </w:rPr>
              <w:t xml:space="preserve">Sociétés soumises à l'IS au taux de 40 %</w:t>
            </w:r>
          </w:p>
        </w:tc>
        <w:tc>
          <w:tcPr>
            <w:tcW w:type="dxa" w:w="2000"/>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b/>
                <w:bCs/>
                <w:color w:val="C0392B"/>
                <w:sz w:val="20"/>
                <w:szCs w:val="20"/>
              </w:rPr>
              <w:t xml:space="preserve">4 %</w:t>
            </w:r>
          </w:p>
        </w:tc>
        <w:tc>
          <w:tcPr>
            <w:tcW w:type="dxa" w:w="2000"/>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b/>
                <w:bCs/>
                <w:sz w:val="20"/>
                <w:szCs w:val="20"/>
              </w:rPr>
              <w:t xml:space="preserve">500</w:t>
            </w:r>
          </w:p>
        </w:tc>
      </w:tr>
      <w:tr>
        <w:tc>
          <w:tcPr>
            <w:tcW w:type="dxa" w:w="5638"/>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sz w:val="20"/>
                <w:szCs w:val="20"/>
              </w:rPr>
              <w:t xml:space="preserve">Sociétés soumises à l'IS au taux de 35 %</w:t>
            </w:r>
          </w:p>
        </w:tc>
        <w:tc>
          <w:tcPr>
            <w:tcW w:type="dxa" w:w="2000"/>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b/>
                <w:bCs/>
                <w:color w:val="C0392B"/>
                <w:sz w:val="20"/>
                <w:szCs w:val="20"/>
              </w:rPr>
              <w:t xml:space="preserve">4 %</w:t>
            </w:r>
          </w:p>
        </w:tc>
        <w:tc>
          <w:tcPr>
            <w:tcW w:type="dxa" w:w="2000"/>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b/>
                <w:bCs/>
                <w:sz w:val="20"/>
                <w:szCs w:val="20"/>
              </w:rPr>
              <w:t xml:space="preserve">500</w:t>
            </w:r>
          </w:p>
        </w:tc>
      </w:tr>
      <w:tr>
        <w:tc>
          <w:tcPr>
            <w:tcW w:type="dxa" w:w="5638"/>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sz w:val="20"/>
                <w:szCs w:val="20"/>
              </w:rPr>
              <w:t xml:space="preserve">Sociétés soumises à l'IS au taux de 20 %</w:t>
            </w:r>
          </w:p>
        </w:tc>
        <w:tc>
          <w:tcPr>
            <w:tcW w:type="dxa" w:w="2000"/>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b/>
                <w:bCs/>
                <w:color w:val="C0392B"/>
                <w:sz w:val="20"/>
                <w:szCs w:val="20"/>
              </w:rPr>
              <w:t xml:space="preserve">3 %</w:t>
            </w:r>
          </w:p>
        </w:tc>
        <w:tc>
          <w:tcPr>
            <w:tcW w:type="dxa" w:w="2000"/>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b/>
                <w:bCs/>
                <w:sz w:val="20"/>
                <w:szCs w:val="20"/>
              </w:rPr>
              <w:t xml:space="preserve">400</w:t>
            </w:r>
          </w:p>
        </w:tc>
      </w:tr>
      <w:tr>
        <w:tc>
          <w:tcPr>
            <w:tcW w:type="dxa" w:w="5638"/>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sz w:val="20"/>
                <w:szCs w:val="20"/>
              </w:rPr>
              <w:t xml:space="preserve">Sociétés soumises à l'IS au taux de 10 %</w:t>
            </w:r>
          </w:p>
        </w:tc>
        <w:tc>
          <w:tcPr>
            <w:tcW w:type="dxa" w:w="2000"/>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b/>
                <w:bCs/>
                <w:color w:val="C0392B"/>
                <w:sz w:val="20"/>
                <w:szCs w:val="20"/>
              </w:rPr>
              <w:t xml:space="preserve">3 %</w:t>
            </w:r>
          </w:p>
        </w:tc>
        <w:tc>
          <w:tcPr>
            <w:tcW w:type="dxa" w:w="2000"/>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b/>
                <w:bCs/>
                <w:sz w:val="20"/>
                <w:szCs w:val="20"/>
              </w:rPr>
              <w:t xml:space="preserve">200</w:t>
            </w:r>
          </w:p>
        </w:tc>
      </w:tr>
      <w:tr>
        <w:tc>
          <w:tcPr>
            <w:tcW w:type="dxa" w:w="5638"/>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sz w:val="20"/>
                <w:szCs w:val="20"/>
              </w:rPr>
              <w:t xml:space="preserve">Sociétés exonérées de l'IS ou bénéficiant de la déduction totale de leurs bénéfices provenant de l'exploitation</w:t>
            </w:r>
          </w:p>
        </w:tc>
        <w:tc>
          <w:tcPr>
            <w:tcW w:type="dxa" w:w="2000"/>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b/>
                <w:bCs/>
                <w:color w:val="C0392B"/>
                <w:sz w:val="20"/>
                <w:szCs w:val="20"/>
              </w:rPr>
              <w:t xml:space="preserve">0 %</w:t>
            </w:r>
          </w:p>
        </w:tc>
        <w:tc>
          <w:tcPr>
            <w:tcW w:type="dxa" w:w="2000"/>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b/>
                <w:bCs/>
                <w:sz w:val="20"/>
                <w:szCs w:val="20"/>
              </w:rPr>
              <w:t xml:space="preserve">400</w:t>
            </w:r>
          </w:p>
        </w:tc>
      </w:tr>
    </w:tbl>
    <w:p>
      <w:pPr>
        <w:spacing w:after="200"/>
      </w:pPr>
      <w:r>
        <w:t xml:space="preserve"/>
      </w:r>
    </w:p>
    <w:p>
      <w:pPr>
        <w:pStyle w:val="Heading3"/>
        <w:spacing w:after="100" w:before="220"/>
      </w:pPr>
      <w:r>
        <w:rPr>
          <w:rFonts w:ascii="Calibri" w:cs="Calibri" w:eastAsia="Calibri" w:hAnsi="Calibri"/>
          <w:b/>
          <w:bCs/>
          <w:color w:val="C0392B"/>
          <w:sz w:val="24"/>
          <w:szCs w:val="24"/>
        </w:rPr>
        <w:t xml:space="preserve">Exemples chiffrés</w:t>
      </w:r>
    </w:p>
    <w:p>
      <w:pPr>
        <w:spacing w:after="120" w:line="300"/>
        <w:jc w:val="both"/>
      </w:pPr>
      <w:r>
        <w:rPr>
          <w:rFonts w:ascii="Calibri" w:cs="Calibri" w:eastAsia="Calibri" w:hAnsi="Calibri"/>
          <w:b/>
          <w:bCs/>
          <w:sz w:val="22"/>
          <w:szCs w:val="22"/>
        </w:rPr>
        <w:t xml:space="preserve">Société soumise au taux de 20 % :</w:t>
      </w:r>
    </w:p>
    <w:p>
      <w:pPr>
        <w:pStyle w:val="ListParagraph"/>
        <w:numPr>
          <w:ilvl w:val="0"/>
          <w:numId w:val="2"/>
        </w:numPr>
        <w:spacing w:after="80" w:line="300"/>
      </w:pPr>
      <w:r>
        <w:rPr>
          <w:rFonts w:ascii="Calibri" w:cs="Calibri" w:eastAsia="Calibri" w:hAnsi="Calibri"/>
          <w:sz w:val="22"/>
          <w:szCs w:val="22"/>
        </w:rPr>
        <w:t xml:space="preserve">IS 20 % + CSS 3 % = 23 %.</w:t>
      </w:r>
    </w:p>
    <w:p>
      <w:pPr>
        <w:pStyle w:val="ListParagraph"/>
        <w:numPr>
          <w:ilvl w:val="0"/>
          <w:numId w:val="2"/>
        </w:numPr>
        <w:spacing w:after="80" w:line="300"/>
      </w:pPr>
      <w:r>
        <w:rPr>
          <w:rFonts w:ascii="Calibri" w:cs="Calibri" w:eastAsia="Calibri" w:hAnsi="Calibri"/>
          <w:sz w:val="22"/>
          <w:szCs w:val="22"/>
        </w:rPr>
        <w:t xml:space="preserve">Taux d'imposition des dividendes distribués : 10 %.</w:t>
      </w:r>
    </w:p>
    <w:p>
      <w:pPr>
        <w:pStyle w:val="ListParagraph"/>
        <w:numPr>
          <w:ilvl w:val="0"/>
          <w:numId w:val="2"/>
        </w:numPr>
        <w:spacing w:after="80" w:line="300"/>
      </w:pPr>
      <w:r>
        <w:rPr>
          <w:rFonts w:ascii="Calibri" w:cs="Calibri" w:eastAsia="Calibri" w:hAnsi="Calibri"/>
          <w:b/>
          <w:bCs/>
          <w:sz w:val="22"/>
          <w:szCs w:val="22"/>
        </w:rPr>
        <w:t xml:space="preserve">Total à payer : </w:t>
      </w:r>
      <w:r>
        <w:rPr>
          <w:rFonts w:ascii="Calibri" w:cs="Calibri" w:eastAsia="Calibri" w:hAnsi="Calibri"/>
          <w:b/>
          <w:bCs/>
          <w:color w:val="C0392B"/>
          <w:sz w:val="22"/>
          <w:szCs w:val="22"/>
        </w:rPr>
        <w:t xml:space="preserve">30,7 %.</w:t>
      </w:r>
    </w:p>
    <w:p>
      <w:pPr>
        <w:pStyle w:val="ListParagraph"/>
        <w:numPr>
          <w:ilvl w:val="0"/>
          <w:numId w:val="2"/>
        </w:numPr>
        <w:spacing w:after="80" w:line="300"/>
      </w:pPr>
      <w:r>
        <w:rPr>
          <w:rFonts w:ascii="Calibri" w:cs="Calibri" w:eastAsia="Calibri" w:hAnsi="Calibri"/>
          <w:sz w:val="22"/>
          <w:szCs w:val="22"/>
        </w:rPr>
        <w:t xml:space="preserve">Minimum d'impôt : 500 DT (IS) + 400 DT (CSS) = 900 DT minimum total.</w:t>
      </w:r>
    </w:p>
    <w:p>
      <w:pPr>
        <w:spacing w:after="120"/>
      </w:pPr>
      <w:r>
        <w:t xml:space="preserve"/>
      </w:r>
    </w:p>
    <w:p>
      <w:pPr>
        <w:spacing w:after="120" w:line="300"/>
        <w:jc w:val="both"/>
      </w:pPr>
      <w:r>
        <w:rPr>
          <w:rFonts w:ascii="Calibri" w:cs="Calibri" w:eastAsia="Calibri" w:hAnsi="Calibri"/>
          <w:b/>
          <w:bCs/>
          <w:sz w:val="22"/>
          <w:szCs w:val="22"/>
        </w:rPr>
        <w:t xml:space="preserve">Société soumise au taux de 10 % (agriculture, artisanat, etc.) :</w:t>
      </w:r>
    </w:p>
    <w:p>
      <w:pPr>
        <w:pStyle w:val="ListParagraph"/>
        <w:numPr>
          <w:ilvl w:val="0"/>
          <w:numId w:val="2"/>
        </w:numPr>
        <w:spacing w:after="80" w:line="300"/>
      </w:pPr>
      <w:r>
        <w:rPr>
          <w:rFonts w:ascii="Calibri" w:cs="Calibri" w:eastAsia="Calibri" w:hAnsi="Calibri"/>
          <w:sz w:val="22"/>
          <w:szCs w:val="22"/>
        </w:rPr>
        <w:t xml:space="preserve">Impôt sur les sociétés : 10 %.</w:t>
      </w:r>
    </w:p>
    <w:p>
      <w:pPr>
        <w:pStyle w:val="ListParagraph"/>
        <w:numPr>
          <w:ilvl w:val="0"/>
          <w:numId w:val="2"/>
        </w:numPr>
        <w:spacing w:after="80" w:line="300"/>
      </w:pPr>
      <w:r>
        <w:rPr>
          <w:rFonts w:ascii="Calibri" w:cs="Calibri" w:eastAsia="Calibri" w:hAnsi="Calibri"/>
          <w:sz w:val="22"/>
          <w:szCs w:val="22"/>
        </w:rPr>
        <w:t xml:space="preserve">CSS : 3 %.</w:t>
      </w:r>
    </w:p>
    <w:p>
      <w:pPr>
        <w:pStyle w:val="ListParagraph"/>
        <w:numPr>
          <w:ilvl w:val="0"/>
          <w:numId w:val="2"/>
        </w:numPr>
        <w:spacing w:after="80" w:line="300"/>
      </w:pPr>
      <w:r>
        <w:rPr>
          <w:rFonts w:ascii="Calibri" w:cs="Calibri" w:eastAsia="Calibri" w:hAnsi="Calibri"/>
          <w:sz w:val="22"/>
          <w:szCs w:val="22"/>
        </w:rPr>
        <w:t xml:space="preserve">Taux d'imposition des dividendes distribués : 10 %.</w:t>
      </w:r>
    </w:p>
    <w:p>
      <w:pPr>
        <w:pStyle w:val="ListParagraph"/>
        <w:numPr>
          <w:ilvl w:val="0"/>
          <w:numId w:val="2"/>
        </w:numPr>
        <w:spacing w:after="80" w:line="300"/>
      </w:pPr>
      <w:r>
        <w:rPr>
          <w:rFonts w:ascii="Calibri" w:cs="Calibri" w:eastAsia="Calibri" w:hAnsi="Calibri"/>
          <w:b/>
          <w:bCs/>
          <w:sz w:val="22"/>
          <w:szCs w:val="22"/>
        </w:rPr>
        <w:t xml:space="preserve">Total : </w:t>
      </w:r>
      <w:r>
        <w:rPr>
          <w:rFonts w:ascii="Calibri" w:cs="Calibri" w:eastAsia="Calibri" w:hAnsi="Calibri"/>
          <w:b/>
          <w:bCs/>
          <w:color w:val="C0392B"/>
          <w:sz w:val="22"/>
          <w:szCs w:val="22"/>
        </w:rPr>
        <w:t xml:space="preserve">21,7 %.</w:t>
      </w:r>
    </w:p>
    <w:p>
      <w:pPr>
        <w:pStyle w:val="ListParagraph"/>
        <w:numPr>
          <w:ilvl w:val="0"/>
          <w:numId w:val="2"/>
        </w:numPr>
        <w:spacing w:after="80" w:line="300"/>
      </w:pPr>
      <w:r>
        <w:rPr>
          <w:rFonts w:ascii="Calibri" w:cs="Calibri" w:eastAsia="Calibri" w:hAnsi="Calibri"/>
          <w:sz w:val="22"/>
          <w:szCs w:val="22"/>
        </w:rPr>
        <w:t xml:space="preserve">Minimum d'impôt IS 500 DT + minimum CSS 200 DT = 700 DT minimum total.</w:t>
      </w:r>
    </w:p>
    <w:p>
      <w:pPr>
        <w:spacing w:after="200"/>
      </w:pPr>
      <w:r>
        <w:t xml:space="preserve"/>
      </w:r>
    </w:p>
    <w:p>
      <w:pPr>
        <w:pStyle w:val="Heading2"/>
        <w:spacing w:after="140" w:before="280"/>
      </w:pPr>
      <w:r>
        <w:rPr>
          <w:rFonts w:ascii="Calibri" w:cs="Calibri" w:eastAsia="Calibri" w:hAnsi="Calibri"/>
          <w:b/>
          <w:bCs/>
          <w:color w:val="1F3A68"/>
          <w:sz w:val="28"/>
          <w:szCs w:val="28"/>
        </w:rPr>
        <w:t xml:space="preserve">7.4 Imposition des revenus de valeurs mobilières (dividendes)</w:t>
      </w:r>
    </w:p>
    <w:p>
      <w:pPr>
        <w:spacing w:after="120" w:line="300"/>
        <w:jc w:val="both"/>
      </w:pPr>
      <w:r>
        <w:rPr>
          <w:rFonts w:ascii="Calibri" w:cs="Calibri" w:eastAsia="Calibri" w:hAnsi="Calibri"/>
          <w:sz w:val="22"/>
          <w:szCs w:val="22"/>
        </w:rPr>
        <w:t xml:space="preserve">Constituent des revenus distribués imposables ou soumis à la retenue à la source libératoire les dividendes distribués de manière régulière à partir du 1er janvier 2015, par les sociétés soumises à l'impôt sur les sociétés aux personnes physiques, dépassant 10 000 DT par an.</w:t>
      </w:r>
    </w:p>
    <w:p>
      <w:pPr>
        <w:spacing w:after="120" w:line="300"/>
        <w:jc w:val="both"/>
      </w:pPr>
      <w:r>
        <w:rPr>
          <w:rFonts w:ascii="Calibri" w:cs="Calibri" w:eastAsia="Calibri" w:hAnsi="Calibri"/>
          <w:i/>
          <w:iCs/>
          <w:color w:val="4A4A4A"/>
          <w:sz w:val="20"/>
          <w:szCs w:val="20"/>
        </w:rPr>
        <w:t xml:space="preserve">Aux termes des paragraphes II et II bis de l'article 29 du Code de l'IRPP et de l'IS, sont considérés comme revenus distribués tous les bénéfices ou produits qui ne sont ni mis en réserves ni incorporés au capital.</w:t>
      </w:r>
    </w:p>
    <w:p>
      <w:pPr>
        <w:pStyle w:val="Heading2"/>
        <w:spacing w:after="140" w:before="280"/>
      </w:pPr>
      <w:r>
        <w:rPr>
          <w:rFonts w:ascii="Calibri" w:cs="Calibri" w:eastAsia="Calibri" w:hAnsi="Calibri"/>
          <w:b/>
          <w:bCs/>
          <w:color w:val="1F3A68"/>
          <w:sz w:val="28"/>
          <w:szCs w:val="28"/>
        </w:rPr>
        <w:t xml:space="preserve">7.5 Avance des sociétés de personnes et assimilées</w:t>
      </w:r>
    </w:p>
    <w:p>
      <w:pPr>
        <w:spacing w:after="120" w:line="300"/>
        <w:jc w:val="both"/>
      </w:pPr>
      <w:r>
        <w:rPr>
          <w:rFonts w:ascii="Calibri" w:cs="Calibri" w:eastAsia="Calibri" w:hAnsi="Calibri"/>
          <w:sz w:val="22"/>
          <w:szCs w:val="22"/>
        </w:rPr>
        <w:t xml:space="preserve">Sont soumises à l'avance les sociétés suivantes :</w:t>
      </w:r>
    </w:p>
    <w:p>
      <w:pPr>
        <w:pStyle w:val="ListParagraph"/>
        <w:numPr>
          <w:ilvl w:val="0"/>
          <w:numId w:val="2"/>
        </w:numPr>
        <w:spacing w:after="80" w:line="300"/>
      </w:pPr>
      <w:r>
        <w:rPr>
          <w:rFonts w:ascii="Calibri" w:cs="Calibri" w:eastAsia="Calibri" w:hAnsi="Calibri"/>
          <w:sz w:val="22"/>
          <w:szCs w:val="22"/>
        </w:rPr>
        <w:t xml:space="preserve">Les sociétés en nom collectif (SNC).</w:t>
      </w:r>
    </w:p>
    <w:p>
      <w:pPr>
        <w:pStyle w:val="ListParagraph"/>
        <w:numPr>
          <w:ilvl w:val="0"/>
          <w:numId w:val="2"/>
        </w:numPr>
        <w:spacing w:after="80" w:line="300"/>
      </w:pPr>
      <w:r>
        <w:rPr>
          <w:rFonts w:ascii="Calibri" w:cs="Calibri" w:eastAsia="Calibri" w:hAnsi="Calibri"/>
          <w:sz w:val="22"/>
          <w:szCs w:val="22"/>
        </w:rPr>
        <w:t xml:space="preserve">Les sociétés de fait.</w:t>
      </w:r>
    </w:p>
    <w:p>
      <w:pPr>
        <w:pStyle w:val="ListParagraph"/>
        <w:numPr>
          <w:ilvl w:val="0"/>
          <w:numId w:val="2"/>
        </w:numPr>
        <w:spacing w:after="80" w:line="300"/>
      </w:pPr>
      <w:r>
        <w:rPr>
          <w:rFonts w:ascii="Calibri" w:cs="Calibri" w:eastAsia="Calibri" w:hAnsi="Calibri"/>
          <w:sz w:val="22"/>
          <w:szCs w:val="22"/>
        </w:rPr>
        <w:t xml:space="preserve">Les sociétés en commandite simple (SCS).</w:t>
      </w:r>
    </w:p>
    <w:p>
      <w:pPr>
        <w:pStyle w:val="ListParagraph"/>
        <w:numPr>
          <w:ilvl w:val="0"/>
          <w:numId w:val="2"/>
        </w:numPr>
        <w:spacing w:after="80" w:line="300"/>
      </w:pPr>
      <w:r>
        <w:rPr>
          <w:rFonts w:ascii="Calibri" w:cs="Calibri" w:eastAsia="Calibri" w:hAnsi="Calibri"/>
          <w:sz w:val="22"/>
          <w:szCs w:val="22"/>
        </w:rPr>
        <w:t xml:space="preserve">Les sociétés en participation.</w:t>
      </w:r>
    </w:p>
    <w:p>
      <w:pPr>
        <w:pStyle w:val="ListParagraph"/>
        <w:numPr>
          <w:ilvl w:val="0"/>
          <w:numId w:val="2"/>
        </w:numPr>
        <w:spacing w:after="80" w:line="300"/>
      </w:pPr>
      <w:r>
        <w:rPr>
          <w:rFonts w:ascii="Calibri" w:cs="Calibri" w:eastAsia="Calibri" w:hAnsi="Calibri"/>
          <w:sz w:val="22"/>
          <w:szCs w:val="22"/>
        </w:rPr>
        <w:t xml:space="preserve">Les groupements d'intérêt économique (GIE).</w:t>
      </w:r>
    </w:p>
    <w:p>
      <w:pPr>
        <w:pStyle w:val="ListParagraph"/>
        <w:numPr>
          <w:ilvl w:val="0"/>
          <w:numId w:val="2"/>
        </w:numPr>
        <w:spacing w:after="80" w:line="300"/>
      </w:pPr>
      <w:r>
        <w:rPr>
          <w:rFonts w:ascii="Calibri" w:cs="Calibri" w:eastAsia="Calibri" w:hAnsi="Calibri"/>
          <w:sz w:val="22"/>
          <w:szCs w:val="22"/>
        </w:rPr>
        <w:t xml:space="preserve">Les sociétés civiles.</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4819"/>
        <w:gridCol w:w="4819"/>
      </w:tblGrid>
      <w:tr>
        <w:trPr>
          <w:tblHeader/>
        </w:trPr>
        <w:tc>
          <w:tcPr>
            <w:tcW w:type="dxa" w:w="4819"/>
            <w:tcBorders>
              <w:top w:val="single" w:color="B0B0B0" w:sz="4"/>
              <w:left w:val="single" w:color="B0B0B0" w:sz="4"/>
              <w:bottom w:val="single" w:color="B0B0B0" w:sz="4"/>
              <w:right w:val="single" w:color="B0B0B0" w:sz="4"/>
            </w:tcBorders>
            <w:shd w:fill="1F3A68" w:color="auto" w:val="clear"/>
            <w:tcMar>
              <w:top w:type="dxa" w:w="80"/>
              <w:left w:type="dxa" w:w="120"/>
              <w:bottom w:type="dxa" w:w="80"/>
              <w:right w:type="dxa" w:w="120"/>
            </w:tcMar>
            <w:vAlign w:val="center"/>
          </w:tcPr>
          <w:p>
            <w:pPr>
              <w:spacing w:after="0" w:line="280"/>
              <w:jc w:val="center"/>
            </w:pPr>
            <w:r>
              <w:rPr>
                <w:rFonts w:ascii="Calibri" w:cs="Calibri" w:eastAsia="Calibri" w:hAnsi="Calibri"/>
                <w:b/>
                <w:bCs/>
                <w:color w:val="FFFFFF"/>
                <w:sz w:val="20"/>
                <w:szCs w:val="20"/>
              </w:rPr>
              <w:t xml:space="preserve">Taux</w:t>
            </w:r>
          </w:p>
        </w:tc>
        <w:tc>
          <w:tcPr>
            <w:tcW w:type="dxa" w:w="4819"/>
            <w:tcBorders>
              <w:top w:val="single" w:color="B0B0B0" w:sz="4"/>
              <w:left w:val="single" w:color="B0B0B0" w:sz="4"/>
              <w:bottom w:val="single" w:color="B0B0B0" w:sz="4"/>
              <w:right w:val="single" w:color="B0B0B0" w:sz="4"/>
            </w:tcBorders>
            <w:shd w:fill="1F3A68" w:color="auto" w:val="clear"/>
            <w:tcMar>
              <w:top w:type="dxa" w:w="80"/>
              <w:left w:type="dxa" w:w="120"/>
              <w:bottom w:type="dxa" w:w="80"/>
              <w:right w:type="dxa" w:w="120"/>
            </w:tcMar>
            <w:vAlign w:val="center"/>
          </w:tcPr>
          <w:p>
            <w:pPr>
              <w:spacing w:after="0" w:line="280"/>
              <w:jc w:val="center"/>
            </w:pPr>
            <w:r>
              <w:rPr>
                <w:rFonts w:ascii="Calibri" w:cs="Calibri" w:eastAsia="Calibri" w:hAnsi="Calibri"/>
                <w:b/>
                <w:bCs/>
                <w:color w:val="FFFFFF"/>
                <w:sz w:val="20"/>
                <w:szCs w:val="20"/>
              </w:rPr>
              <w:t xml:space="preserve">Base et conditions</w:t>
            </w:r>
          </w:p>
        </w:tc>
      </w:tr>
      <w:tr>
        <w:tc>
          <w:tcPr>
            <w:tcW w:type="dxa" w:w="4819"/>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b/>
                <w:bCs/>
                <w:color w:val="C0392B"/>
                <w:sz w:val="20"/>
                <w:szCs w:val="20"/>
              </w:rPr>
              <w:t xml:space="preserve">20 %</w:t>
            </w:r>
          </w:p>
        </w:tc>
        <w:tc>
          <w:tcPr>
            <w:tcW w:type="dxa" w:w="4819"/>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sz w:val="20"/>
                <w:szCs w:val="20"/>
              </w:rPr>
              <w:t xml:space="preserve">Sur la base des bénéfices réalisés au titre de l'année précédente (applicable aux bénéfices réalisés à partir du 1er janvier 2024 — art. 37 LF 2025).</w:t>
            </w:r>
          </w:p>
        </w:tc>
      </w:tr>
      <w:tr>
        <w:tc>
          <w:tcPr>
            <w:tcW w:type="dxa" w:w="4819"/>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center"/>
            </w:pPr>
            <w:r>
              <w:rPr>
                <w:rFonts w:ascii="Calibri" w:cs="Calibri" w:eastAsia="Calibri" w:hAnsi="Calibri"/>
                <w:b/>
                <w:bCs/>
                <w:color w:val="C0392B"/>
                <w:sz w:val="20"/>
                <w:szCs w:val="20"/>
              </w:rPr>
              <w:t xml:space="preserve">10 %</w:t>
            </w:r>
          </w:p>
        </w:tc>
        <w:tc>
          <w:tcPr>
            <w:tcW w:type="dxa" w:w="4819"/>
            <w:tcBorders>
              <w:top w:val="single" w:color="B0B0B0" w:sz="4"/>
              <w:left w:val="single" w:color="B0B0B0" w:sz="4"/>
              <w:bottom w:val="single" w:color="B0B0B0" w:sz="4"/>
              <w:right w:val="single" w:color="B0B0B0" w:sz="4"/>
            </w:tcBorders>
            <w:tcMar>
              <w:top w:type="dxa" w:w="80"/>
              <w:left w:type="dxa" w:w="120"/>
              <w:bottom w:type="dxa" w:w="80"/>
              <w:right w:type="dxa" w:w="120"/>
            </w:tcMar>
            <w:vAlign w:val="center"/>
          </w:tcPr>
          <w:p>
            <w:pPr>
              <w:spacing w:after="0" w:line="280"/>
              <w:jc w:val="left"/>
            </w:pPr>
            <w:r>
              <w:rPr>
                <w:rFonts w:ascii="Calibri" w:cs="Calibri" w:eastAsia="Calibri" w:hAnsi="Calibri"/>
                <w:sz w:val="20"/>
                <w:szCs w:val="20"/>
              </w:rPr>
              <w:t xml:space="preserve">Sur la base des bénéfices réalisés au titre de l'année précédente, si l'activité exercée est soumise à l'IS au taux de 10 %.</w:t>
            </w:r>
          </w:p>
        </w:tc>
      </w:tr>
    </w:tbl>
    <w:p>
      <w:r>
        <w:br w:type="page"/>
      </w:r>
    </w:p>
    <w:p>
      <w:pPr>
        <w:pStyle w:val="Heading1"/>
        <w:spacing w:after="200" w:before="360"/>
      </w:pPr>
      <w:r>
        <w:rPr>
          <w:rFonts w:ascii="Calibri" w:cs="Calibri" w:eastAsia="Calibri" w:hAnsi="Calibri"/>
          <w:b/>
          <w:bCs/>
          <w:color w:val="1F3A68"/>
          <w:sz w:val="36"/>
          <w:szCs w:val="36"/>
        </w:rPr>
        <w:t xml:space="preserve">Conclusion et recommandations</w:t>
      </w:r>
    </w:p>
    <w:p>
      <w:pPr>
        <w:spacing w:after="120" w:line="300"/>
        <w:jc w:val="both"/>
      </w:pPr>
      <w:r>
        <w:rPr>
          <w:rFonts w:ascii="Calibri" w:cs="Calibri" w:eastAsia="Calibri" w:hAnsi="Calibri"/>
          <w:sz w:val="22"/>
          <w:szCs w:val="22"/>
        </w:rPr>
        <w:t xml:space="preserve">L'environnement de l'entreprise en Tunisie a connu, ces dernières années, une refonte progressive de ses dispositifs fiscaux et institutionnels. La Loi de Finances 2026 confirme une orientation claire : encourager la formalisation des petites activités via le régime forfaitaire optionnel et le statut d'auto-entrepreneur, tout en consolidant la fiscalité des sociétés au régime réel.</w:t>
      </w:r>
    </w:p>
    <w:p>
      <w:pPr>
        <w:spacing w:after="120" w:line="300"/>
        <w:jc w:val="both"/>
      </w:pPr>
      <w:r>
        <w:rPr>
          <w:rFonts w:ascii="Calibri" w:cs="Calibri" w:eastAsia="Calibri" w:hAnsi="Calibri"/>
          <w:sz w:val="22"/>
          <w:szCs w:val="22"/>
        </w:rPr>
        <w:t xml:space="preserve">Cette orientation s'inscrit dans un effort plus large d'élargissement de l'assiette fiscale, de lutte contre l'évasion et de simplification administrative à travers la digitalisation (E-Houiya, plateformes en ligne du RNE, du Ministère des Finances et des caisses sociales).</w:t>
      </w:r>
    </w:p>
    <w:p>
      <w:pPr>
        <w:pStyle w:val="Heading3"/>
        <w:spacing w:after="100" w:before="220"/>
      </w:pPr>
      <w:r>
        <w:rPr>
          <w:rFonts w:ascii="Calibri" w:cs="Calibri" w:eastAsia="Calibri" w:hAnsi="Calibri"/>
          <w:b/>
          <w:bCs/>
          <w:color w:val="C0392B"/>
          <w:sz w:val="24"/>
          <w:szCs w:val="24"/>
        </w:rPr>
        <w:t xml:space="preserve">Recommandations pratiques aux promoteurs</w:t>
      </w:r>
    </w:p>
    <w:p>
      <w:pPr>
        <w:pStyle w:val="ListParagraph"/>
        <w:numPr>
          <w:ilvl w:val="0"/>
          <w:numId w:val="2"/>
        </w:numPr>
        <w:spacing w:after="80" w:line="300"/>
      </w:pPr>
      <w:r>
        <w:rPr>
          <w:rFonts w:ascii="Calibri" w:cs="Calibri" w:eastAsia="Calibri" w:hAnsi="Calibri"/>
          <w:sz w:val="22"/>
          <w:szCs w:val="22"/>
        </w:rPr>
        <w:t xml:space="preserve">Choisir la forme juridique en cohérence avec le volume d'activité, le nombre d'associés et les ambitions de croissance — la SARL/SUARL reste la forme la plus adaptée pour la majorité des PME.</w:t>
      </w:r>
    </w:p>
    <w:p>
      <w:pPr>
        <w:pStyle w:val="ListParagraph"/>
        <w:numPr>
          <w:ilvl w:val="0"/>
          <w:numId w:val="2"/>
        </w:numPr>
        <w:spacing w:after="80" w:line="300"/>
      </w:pPr>
      <w:r>
        <w:rPr>
          <w:rFonts w:ascii="Calibri" w:cs="Calibri" w:eastAsia="Calibri" w:hAnsi="Calibri"/>
          <w:sz w:val="22"/>
          <w:szCs w:val="22"/>
        </w:rPr>
        <w:t xml:space="preserve">Vérifier l'éligibilité aux avantages de l'APII dès la phase de déclaration d'investissement, et veiller à obtenir l'identifiant fiscal pour bénéficier automatiquement des avantages.</w:t>
      </w:r>
    </w:p>
    <w:p>
      <w:pPr>
        <w:pStyle w:val="ListParagraph"/>
        <w:numPr>
          <w:ilvl w:val="0"/>
          <w:numId w:val="2"/>
        </w:numPr>
        <w:spacing w:after="80" w:line="300"/>
      </w:pPr>
      <w:r>
        <w:rPr>
          <w:rFonts w:ascii="Calibri" w:cs="Calibri" w:eastAsia="Calibri" w:hAnsi="Calibri"/>
          <w:sz w:val="22"/>
          <w:szCs w:val="22"/>
        </w:rPr>
        <w:t xml:space="preserve">Tenir une comptabilité rigoureuse, condition nécessaire pour conserver les déductions et faciliter les vérifications fiscales et sociales.</w:t>
      </w:r>
    </w:p>
    <w:p>
      <w:pPr>
        <w:pStyle w:val="ListParagraph"/>
        <w:numPr>
          <w:ilvl w:val="0"/>
          <w:numId w:val="2"/>
        </w:numPr>
        <w:spacing w:after="80" w:line="300"/>
      </w:pPr>
      <w:r>
        <w:rPr>
          <w:rFonts w:ascii="Calibri" w:cs="Calibri" w:eastAsia="Calibri" w:hAnsi="Calibri"/>
          <w:sz w:val="22"/>
          <w:szCs w:val="22"/>
        </w:rPr>
        <w:t xml:space="preserve">Anticiper les seuils de chiffre d'affaires qui déclenchent un changement de régime fiscal (75 000 DT pour l'auto-entrepreneur, 100 000 DT pour le forfaitaire, 150 000 DT pour le réel simplifié BNC, 300 000 DT pour le réel simplifié BIC).</w:t>
      </w:r>
    </w:p>
    <w:p>
      <w:pPr>
        <w:pStyle w:val="ListParagraph"/>
        <w:numPr>
          <w:ilvl w:val="0"/>
          <w:numId w:val="2"/>
        </w:numPr>
        <w:spacing w:after="80" w:line="300"/>
      </w:pPr>
      <w:r>
        <w:rPr>
          <w:rFonts w:ascii="Calibri" w:cs="Calibri" w:eastAsia="Calibri" w:hAnsi="Calibri"/>
          <w:sz w:val="22"/>
          <w:szCs w:val="22"/>
        </w:rPr>
        <w:t xml:space="preserve">Étudier les zones de développement régional pour optimiser la fiscalité de l'exploitation (déduction totale sur 5 à 10 ans, puis taux réduit d'IS à 10 %).</w:t>
      </w:r>
    </w:p>
    <w:p>
      <w:pPr>
        <w:pStyle w:val="ListParagraph"/>
        <w:numPr>
          <w:ilvl w:val="0"/>
          <w:numId w:val="2"/>
        </w:numPr>
        <w:spacing w:after="80" w:line="300"/>
      </w:pPr>
      <w:r>
        <w:rPr>
          <w:rFonts w:ascii="Calibri" w:cs="Calibri" w:eastAsia="Calibri" w:hAnsi="Calibri"/>
          <w:sz w:val="22"/>
          <w:szCs w:val="22"/>
        </w:rPr>
        <w:t xml:space="preserve">Consulter un expert-comptable lors de la création et à chaque évolution majeure (croissance, ouverture du capital, internationalisation, transmission).</w:t>
      </w:r>
    </w:p>
    <w:p>
      <w:pPr>
        <w:pStyle w:val="Heading3"/>
        <w:spacing w:after="100" w:before="220"/>
      </w:pPr>
      <w:r>
        <w:rPr>
          <w:rFonts w:ascii="Calibri" w:cs="Calibri" w:eastAsia="Calibri" w:hAnsi="Calibri"/>
          <w:b/>
          <w:bCs/>
          <w:color w:val="C0392B"/>
          <w:sz w:val="24"/>
          <w:szCs w:val="24"/>
        </w:rPr>
        <w:t xml:space="preserve">Limites du présent document</w:t>
      </w:r>
    </w:p>
    <w:p>
      <w:pPr>
        <w:spacing w:after="120" w:line="300"/>
        <w:jc w:val="both"/>
      </w:pPr>
      <w:r>
        <w:rPr>
          <w:rFonts w:ascii="Calibri" w:cs="Calibri" w:eastAsia="Calibri" w:hAnsi="Calibri"/>
          <w:sz w:val="22"/>
          <w:szCs w:val="22"/>
        </w:rPr>
        <w:t xml:space="preserve">Ce livre blanc présente un état synthétique du cadre juridique et fiscal applicable, à jour de la Loi de Finances 2026. Il ne se substitue pas à une analyse personnalisée par un expert-comptable ou un conseiller fiscal. Les seuils, taux et procédures peuvent évoluer en fonction des prochaines lois de finances, des décrets d'application et de la doctrine administrative (notes communes, prises de position de la DGELF).</w:t>
      </w:r>
    </w:p>
    <w:p>
      <w:r>
        <w:br w:type="page"/>
      </w:r>
    </w:p>
    <w:p>
      <w:pPr>
        <w:pStyle w:val="Heading1"/>
        <w:spacing w:after="200" w:before="360"/>
      </w:pPr>
      <w:r>
        <w:rPr>
          <w:rFonts w:ascii="Calibri" w:cs="Calibri" w:eastAsia="Calibri" w:hAnsi="Calibri"/>
          <w:b/>
          <w:bCs/>
          <w:color w:val="1F3A68"/>
          <w:sz w:val="36"/>
          <w:szCs w:val="36"/>
        </w:rPr>
        <w:t xml:space="preserve">Sources et références</w:t>
      </w:r>
    </w:p>
    <w:p>
      <w:pPr>
        <w:spacing w:after="120" w:line="300"/>
        <w:jc w:val="both"/>
      </w:pPr>
      <w:r>
        <w:rPr>
          <w:rFonts w:ascii="Calibri" w:cs="Calibri" w:eastAsia="Calibri" w:hAnsi="Calibri"/>
          <w:sz w:val="22"/>
          <w:szCs w:val="22"/>
        </w:rPr>
        <w:t xml:space="preserve">Les références ci-dessous correspondent aux notes de bas de page citées tout au long du livre blanc. Les URL sont cliquables dans la version numérique du document.</w:t>
      </w:r>
    </w:p>
    <w:p>
      <w:pPr>
        <w:pStyle w:val="Heading3"/>
        <w:spacing w:after="100" w:before="220"/>
      </w:pPr>
      <w:r>
        <w:rPr>
          <w:rFonts w:ascii="Calibri" w:cs="Calibri" w:eastAsia="Calibri" w:hAnsi="Calibri"/>
          <w:b/>
          <w:bCs/>
          <w:color w:val="C0392B"/>
          <w:sz w:val="24"/>
          <w:szCs w:val="24"/>
        </w:rPr>
        <w:t xml:space="preserve">Textes législatifs et réglementaires</w:t>
      </w:r>
    </w:p>
    <w:p>
      <w:pPr>
        <w:spacing w:after="100" w:line="280"/>
        <w:ind w:left="360" w:hanging="360"/>
      </w:pPr>
      <w:r>
        <w:rPr>
          <w:rFonts w:ascii="Calibri" w:cs="Calibri" w:eastAsia="Calibri" w:hAnsi="Calibri"/>
          <w:b/>
          <w:bCs/>
          <w:color w:val="1F3A68"/>
          <w:sz w:val="20"/>
          <w:szCs w:val="20"/>
        </w:rPr>
        <w:t xml:space="preserve">[3] </w:t>
      </w:r>
      <w:r>
        <w:rPr>
          <w:rFonts w:ascii="Calibri" w:cs="Calibri" w:eastAsia="Calibri" w:hAnsi="Calibri"/>
          <w:sz w:val="20"/>
          <w:szCs w:val="20"/>
        </w:rPr>
        <w:t xml:space="preserve">Loi n° 2017-8 du 14 février 2017 portant refonte des avantages fiscaux (Ministère des Finances) — </w:t>
      </w:r>
      <w:hyperlink w:history="1" r:id="rIdovlwohniayxmtnqdfxpzs">
        <w:r>
          <w:rPr>
            <w:rStyle w:val="Hyperlink"/>
            <w:rFonts w:ascii="Calibri" w:cs="Calibri" w:eastAsia="Calibri" w:hAnsi="Calibri"/>
            <w:sz w:val="20"/>
            <w:szCs w:val="20"/>
          </w:rPr>
          <w:t xml:space="preserve">https://www.finances.gov.tn/sites/default/files/reglementaire_fr/Loi2017_8.pdf</w:t>
        </w:r>
      </w:hyperlink>
    </w:p>
    <w:p>
      <w:pPr>
        <w:spacing w:after="100" w:line="280"/>
        <w:ind w:left="360" w:hanging="360"/>
      </w:pPr>
      <w:r>
        <w:rPr>
          <w:rFonts w:ascii="Calibri" w:cs="Calibri" w:eastAsia="Calibri" w:hAnsi="Calibri"/>
          <w:b/>
          <w:bCs/>
          <w:color w:val="1F3A68"/>
          <w:sz w:val="20"/>
          <w:szCs w:val="20"/>
        </w:rPr>
        <w:t xml:space="preserve">[13] </w:t>
      </w:r>
      <w:r>
        <w:rPr>
          <w:rFonts w:ascii="Calibri" w:cs="Calibri" w:eastAsia="Calibri" w:hAnsi="Calibri"/>
          <w:sz w:val="20"/>
          <w:szCs w:val="20"/>
        </w:rPr>
        <w:t xml:space="preserve">Code des Droits et Procédures Fiscaux, art. 37 — Vérification préliminaire (Jurisite Tunisie) — </w:t>
      </w:r>
      <w:hyperlink w:history="1" r:id="rIda_b-ourigp7lxgz85naeo">
        <w:r>
          <w:rPr>
            <w:rStyle w:val="Hyperlink"/>
            <w:rFonts w:ascii="Calibri" w:cs="Calibri" w:eastAsia="Calibri" w:hAnsi="Calibri"/>
            <w:sz w:val="20"/>
            <w:szCs w:val="20"/>
          </w:rPr>
          <w:t xml:space="preserve">https://www.jurisitetunisie.com/tunisie/codes/cdpf/cdpf1040.htm</w:t>
        </w:r>
      </w:hyperlink>
    </w:p>
    <w:p>
      <w:pPr>
        <w:spacing w:after="100" w:line="280"/>
        <w:ind w:left="360" w:hanging="360"/>
      </w:pPr>
      <w:r>
        <w:rPr>
          <w:rFonts w:ascii="Calibri" w:cs="Calibri" w:eastAsia="Calibri" w:hAnsi="Calibri"/>
          <w:b/>
          <w:bCs/>
          <w:color w:val="1F3A68"/>
          <w:sz w:val="20"/>
          <w:szCs w:val="20"/>
        </w:rPr>
        <w:t xml:space="preserve">[14] </w:t>
      </w:r>
      <w:r>
        <w:rPr>
          <w:rFonts w:ascii="Calibri" w:cs="Calibri" w:eastAsia="Calibri" w:hAnsi="Calibri"/>
          <w:sz w:val="20"/>
          <w:szCs w:val="20"/>
        </w:rPr>
        <w:t xml:space="preserve">Code des Droits et Procédures Fiscaux, chap. III — Taxation d'office (Jurisite Tunisie) — </w:t>
      </w:r>
      <w:hyperlink w:history="1" r:id="rIdp1z9vzdyk1ge-qekemjit">
        <w:r>
          <w:rPr>
            <w:rStyle w:val="Hyperlink"/>
            <w:rFonts w:ascii="Calibri" w:cs="Calibri" w:eastAsia="Calibri" w:hAnsi="Calibri"/>
            <w:sz w:val="20"/>
            <w:szCs w:val="20"/>
          </w:rPr>
          <w:t xml:space="preserve">https://www.jurisitetunisie.com/tunisie/codes/cdpf/cdpf1055.htm</w:t>
        </w:r>
      </w:hyperlink>
    </w:p>
    <w:p>
      <w:pPr>
        <w:spacing w:after="100" w:line="280"/>
        <w:ind w:left="360" w:hanging="360"/>
      </w:pPr>
      <w:r>
        <w:rPr>
          <w:rFonts w:ascii="Calibri" w:cs="Calibri" w:eastAsia="Calibri" w:hAnsi="Calibri"/>
          <w:b/>
          <w:bCs/>
          <w:color w:val="1F3A68"/>
          <w:sz w:val="20"/>
          <w:szCs w:val="20"/>
        </w:rPr>
        <w:t xml:space="preserve">[15] </w:t>
      </w:r>
      <w:r>
        <w:rPr>
          <w:rFonts w:ascii="Calibri" w:cs="Calibri" w:eastAsia="Calibri" w:hAnsi="Calibri"/>
          <w:sz w:val="20"/>
          <w:szCs w:val="20"/>
        </w:rPr>
        <w:t xml:space="preserve">Procédures d'opposition à l'arrêté de taxation d'office (Ministère des Finances) — </w:t>
      </w:r>
      <w:hyperlink w:history="1" r:id="rIddc0giv3yj3twq234yt8_0">
        <w:r>
          <w:rPr>
            <w:rStyle w:val="Hyperlink"/>
            <w:rFonts w:ascii="Calibri" w:cs="Calibri" w:eastAsia="Calibri" w:hAnsi="Calibri"/>
            <w:sz w:val="20"/>
            <w:szCs w:val="20"/>
          </w:rPr>
          <w:t xml:space="preserve">https://www.finances.gov.tn/fr/node/919</w:t>
        </w:r>
      </w:hyperlink>
    </w:p>
    <w:p>
      <w:pPr>
        <w:spacing w:after="100" w:line="280"/>
        <w:ind w:left="360" w:hanging="360"/>
      </w:pPr>
      <w:r>
        <w:rPr>
          <w:rFonts w:ascii="Calibri" w:cs="Calibri" w:eastAsia="Calibri" w:hAnsi="Calibri"/>
          <w:b/>
          <w:bCs/>
          <w:color w:val="1F3A68"/>
          <w:sz w:val="20"/>
          <w:szCs w:val="20"/>
        </w:rPr>
        <w:t xml:space="preserve">[18] </w:t>
      </w:r>
      <w:r>
        <w:rPr>
          <w:rFonts w:ascii="Calibri" w:cs="Calibri" w:eastAsia="Calibri" w:hAnsi="Calibri"/>
          <w:sz w:val="20"/>
          <w:szCs w:val="20"/>
        </w:rPr>
        <w:t xml:space="preserve">Code du Travail — L'Inspection du Travail (Jurisite Tunisie) — </w:t>
      </w:r>
      <w:hyperlink w:history="1" r:id="rIduxtfnfd5pr2h3ze_6hqdj">
        <w:r>
          <w:rPr>
            <w:rStyle w:val="Hyperlink"/>
            <w:rFonts w:ascii="Calibri" w:cs="Calibri" w:eastAsia="Calibri" w:hAnsi="Calibri"/>
            <w:sz w:val="20"/>
            <w:szCs w:val="20"/>
          </w:rPr>
          <w:t xml:space="preserve">https://www.jurisitetunisie.com/tunisie/codes/ct/Ct1150.htm</w:t>
        </w:r>
      </w:hyperlink>
    </w:p>
    <w:p>
      <w:pPr>
        <w:spacing w:after="100" w:line="280"/>
        <w:ind w:left="360" w:hanging="360"/>
      </w:pPr>
      <w:r>
        <w:rPr>
          <w:rFonts w:ascii="Calibri" w:cs="Calibri" w:eastAsia="Calibri" w:hAnsi="Calibri"/>
          <w:b/>
          <w:bCs/>
          <w:color w:val="1F3A68"/>
          <w:sz w:val="20"/>
          <w:szCs w:val="20"/>
        </w:rPr>
        <w:t xml:space="preserve">[22] </w:t>
      </w:r>
      <w:r>
        <w:rPr>
          <w:rFonts w:ascii="Calibri" w:cs="Calibri" w:eastAsia="Calibri" w:hAnsi="Calibri"/>
          <w:sz w:val="20"/>
          <w:szCs w:val="20"/>
        </w:rPr>
        <w:t xml:space="preserve">Statut de l'Auto-Entrepreneur, ordonnance n°33 du 10/06/2020 (Paie-Tunisie) — </w:t>
      </w:r>
      <w:hyperlink w:history="1" r:id="rId5md8rl-ioyfuwgaohz_di">
        <w:r>
          <w:rPr>
            <w:rStyle w:val="Hyperlink"/>
            <w:rFonts w:ascii="Calibri" w:cs="Calibri" w:eastAsia="Calibri" w:hAnsi="Calibri"/>
            <w:sz w:val="20"/>
            <w:szCs w:val="20"/>
          </w:rPr>
          <w:t xml:space="preserve">https://paie-tunisie.com/412/fr/207/publications/statut-de-l-auto-entrepreneur-en-tunisie</w:t>
        </w:r>
      </w:hyperlink>
    </w:p>
    <w:p>
      <w:pPr>
        <w:pStyle w:val="Heading3"/>
        <w:spacing w:after="100" w:before="220"/>
      </w:pPr>
      <w:r>
        <w:rPr>
          <w:rFonts w:ascii="Calibri" w:cs="Calibri" w:eastAsia="Calibri" w:hAnsi="Calibri"/>
          <w:b/>
          <w:bCs/>
          <w:color w:val="C0392B"/>
          <w:sz w:val="24"/>
          <w:szCs w:val="24"/>
        </w:rPr>
        <w:t xml:space="preserve">Organismes officiels</w:t>
      </w:r>
    </w:p>
    <w:p>
      <w:pPr>
        <w:spacing w:after="100" w:line="280"/>
        <w:ind w:left="360" w:hanging="360"/>
      </w:pPr>
      <w:r>
        <w:rPr>
          <w:rFonts w:ascii="Calibri" w:cs="Calibri" w:eastAsia="Calibri" w:hAnsi="Calibri"/>
          <w:b/>
          <w:bCs/>
          <w:color w:val="1F3A68"/>
          <w:sz w:val="20"/>
          <w:szCs w:val="20"/>
        </w:rPr>
        <w:t xml:space="preserve">[1] </w:t>
      </w:r>
      <w:r>
        <w:rPr>
          <w:rFonts w:ascii="Calibri" w:cs="Calibri" w:eastAsia="Calibri" w:hAnsi="Calibri"/>
          <w:sz w:val="20"/>
          <w:szCs w:val="20"/>
        </w:rPr>
        <w:t xml:space="preserve">Agence de Promotion de l'Industrie et de l'Innovation — APII (Wikipédia) — </w:t>
      </w:r>
      <w:hyperlink w:history="1" r:id="rIdqjg86ua10n4ifgiospqdm">
        <w:r>
          <w:rPr>
            <w:rStyle w:val="Hyperlink"/>
            <w:rFonts w:ascii="Calibri" w:cs="Calibri" w:eastAsia="Calibri" w:hAnsi="Calibri"/>
            <w:sz w:val="20"/>
            <w:szCs w:val="20"/>
          </w:rPr>
          <w:t xml:space="preserve">https://fr.wikipedia.org/wiki/Agence_de_promotion_de_l%27industrie_et_de_l%27innovation</w:t>
        </w:r>
      </w:hyperlink>
    </w:p>
    <w:p>
      <w:pPr>
        <w:spacing w:after="100" w:line="280"/>
        <w:ind w:left="360" w:hanging="360"/>
      </w:pPr>
      <w:r>
        <w:rPr>
          <w:rFonts w:ascii="Calibri" w:cs="Calibri" w:eastAsia="Calibri" w:hAnsi="Calibri"/>
          <w:b/>
          <w:bCs/>
          <w:color w:val="1F3A68"/>
          <w:sz w:val="20"/>
          <w:szCs w:val="20"/>
        </w:rPr>
        <w:t xml:space="preserve">[2] </w:t>
      </w:r>
      <w:r>
        <w:rPr>
          <w:rFonts w:ascii="Calibri" w:cs="Calibri" w:eastAsia="Calibri" w:hAnsi="Calibri"/>
          <w:sz w:val="20"/>
          <w:szCs w:val="20"/>
        </w:rPr>
        <w:t xml:space="preserve">APII — Création d'une société — </w:t>
      </w:r>
      <w:hyperlink w:history="1" r:id="rIdv8uej_nstesnd4eostbb7">
        <w:r>
          <w:rPr>
            <w:rStyle w:val="Hyperlink"/>
            <w:rFonts w:ascii="Calibri" w:cs="Calibri" w:eastAsia="Calibri" w:hAnsi="Calibri"/>
            <w:sz w:val="20"/>
            <w:szCs w:val="20"/>
          </w:rPr>
          <w:t xml:space="preserve">https://www.tunisieindustrie.nat.tn/fr/Entcreation.asp</w:t>
        </w:r>
      </w:hyperlink>
    </w:p>
    <w:p>
      <w:pPr>
        <w:spacing w:after="100" w:line="280"/>
        <w:ind w:left="360" w:hanging="360"/>
      </w:pPr>
      <w:r>
        <w:rPr>
          <w:rFonts w:ascii="Calibri" w:cs="Calibri" w:eastAsia="Calibri" w:hAnsi="Calibri"/>
          <w:b/>
          <w:bCs/>
          <w:color w:val="1F3A68"/>
          <w:sz w:val="20"/>
          <w:szCs w:val="20"/>
        </w:rPr>
        <w:t xml:space="preserve">[4] </w:t>
      </w:r>
      <w:r>
        <w:rPr>
          <w:rFonts w:ascii="Calibri" w:cs="Calibri" w:eastAsia="Calibri" w:hAnsi="Calibri"/>
          <w:sz w:val="20"/>
          <w:szCs w:val="20"/>
        </w:rPr>
        <w:t xml:space="preserve">APII — Attestation d'entrée en production — </w:t>
      </w:r>
      <w:hyperlink w:history="1" r:id="rIdbtctfsi6_8-zcsewe-0_8">
        <w:r>
          <w:rPr>
            <w:rStyle w:val="Hyperlink"/>
            <w:rFonts w:ascii="Calibri" w:cs="Calibri" w:eastAsia="Calibri" w:hAnsi="Calibri"/>
            <w:sz w:val="20"/>
            <w:szCs w:val="20"/>
          </w:rPr>
          <w:t xml:space="preserve">https://formalites.industrie.gov.tn/fiche-attestation-dentree-en-production-161.html</w:t>
        </w:r>
      </w:hyperlink>
    </w:p>
    <w:p>
      <w:pPr>
        <w:spacing w:after="100" w:line="280"/>
        <w:ind w:left="360" w:hanging="360"/>
      </w:pPr>
      <w:r>
        <w:rPr>
          <w:rFonts w:ascii="Calibri" w:cs="Calibri" w:eastAsia="Calibri" w:hAnsi="Calibri"/>
          <w:b/>
          <w:bCs/>
          <w:color w:val="1F3A68"/>
          <w:sz w:val="20"/>
          <w:szCs w:val="20"/>
        </w:rPr>
        <w:t xml:space="preserve">[5] </w:t>
      </w:r>
      <w:r>
        <w:rPr>
          <w:rFonts w:ascii="Calibri" w:cs="Calibri" w:eastAsia="Calibri" w:hAnsi="Calibri"/>
          <w:sz w:val="20"/>
          <w:szCs w:val="20"/>
        </w:rPr>
        <w:t xml:space="preserve">Agence de Promotion des Investissements Agricoles — APIA — </w:t>
      </w:r>
      <w:hyperlink w:history="1" r:id="rIdpxwsfmdeyvsnuy7td5fth">
        <w:r>
          <w:rPr>
            <w:rStyle w:val="Hyperlink"/>
            <w:rFonts w:ascii="Calibri" w:cs="Calibri" w:eastAsia="Calibri" w:hAnsi="Calibri"/>
            <w:sz w:val="20"/>
            <w:szCs w:val="20"/>
          </w:rPr>
          <w:t xml:space="preserve">https://www.apia.com.tn</w:t>
        </w:r>
      </w:hyperlink>
    </w:p>
    <w:p>
      <w:pPr>
        <w:spacing w:after="100" w:line="280"/>
        <w:ind w:left="360" w:hanging="360"/>
      </w:pPr>
      <w:r>
        <w:rPr>
          <w:rFonts w:ascii="Calibri" w:cs="Calibri" w:eastAsia="Calibri" w:hAnsi="Calibri"/>
          <w:b/>
          <w:bCs/>
          <w:color w:val="1F3A68"/>
          <w:sz w:val="20"/>
          <w:szCs w:val="20"/>
        </w:rPr>
        <w:t xml:space="preserve">[6] </w:t>
      </w:r>
      <w:r>
        <w:rPr>
          <w:rFonts w:ascii="Calibri" w:cs="Calibri" w:eastAsia="Calibri" w:hAnsi="Calibri"/>
          <w:sz w:val="20"/>
          <w:szCs w:val="20"/>
        </w:rPr>
        <w:t xml:space="preserve">APIA — Profil institutionnel (Green Climate Fund) — </w:t>
      </w:r>
      <w:hyperlink w:history="1" r:id="rId7b5mw9r6v3icyp015blqb">
        <w:r>
          <w:rPr>
            <w:rStyle w:val="Hyperlink"/>
            <w:rFonts w:ascii="Calibri" w:cs="Calibri" w:eastAsia="Calibri" w:hAnsi="Calibri"/>
            <w:sz w:val="20"/>
            <w:szCs w:val="20"/>
          </w:rPr>
          <w:t xml:space="preserve">https://www.greenclimate.fund/ae/apia</w:t>
        </w:r>
      </w:hyperlink>
    </w:p>
    <w:p>
      <w:pPr>
        <w:spacing w:after="100" w:line="280"/>
        <w:ind w:left="360" w:hanging="360"/>
      </w:pPr>
      <w:r>
        <w:rPr>
          <w:rFonts w:ascii="Calibri" w:cs="Calibri" w:eastAsia="Calibri" w:hAnsi="Calibri"/>
          <w:b/>
          <w:bCs/>
          <w:color w:val="1F3A68"/>
          <w:sz w:val="20"/>
          <w:szCs w:val="20"/>
        </w:rPr>
        <w:t xml:space="preserve">[7] </w:t>
      </w:r>
      <w:r>
        <w:rPr>
          <w:rFonts w:ascii="Calibri" w:cs="Calibri" w:eastAsia="Calibri" w:hAnsi="Calibri"/>
          <w:sz w:val="20"/>
          <w:szCs w:val="20"/>
        </w:rPr>
        <w:t xml:space="preserve">FIPA-Tunisia — Foreign Investment Promotion Agency — </w:t>
      </w:r>
      <w:hyperlink w:history="1" r:id="rIdai4cu6ddmpkn8m3y8xvwp">
        <w:r>
          <w:rPr>
            <w:rStyle w:val="Hyperlink"/>
            <w:rFonts w:ascii="Calibri" w:cs="Calibri" w:eastAsia="Calibri" w:hAnsi="Calibri"/>
            <w:sz w:val="20"/>
            <w:szCs w:val="20"/>
          </w:rPr>
          <w:t xml:space="preserve">https://investintunisia.tn</w:t>
        </w:r>
      </w:hyperlink>
    </w:p>
    <w:p>
      <w:pPr>
        <w:spacing w:after="100" w:line="280"/>
        <w:ind w:left="360" w:hanging="360"/>
      </w:pPr>
      <w:r>
        <w:rPr>
          <w:rFonts w:ascii="Calibri" w:cs="Calibri" w:eastAsia="Calibri" w:hAnsi="Calibri"/>
          <w:b/>
          <w:bCs/>
          <w:color w:val="1F3A68"/>
          <w:sz w:val="20"/>
          <w:szCs w:val="20"/>
        </w:rPr>
        <w:t xml:space="preserve">[8] </w:t>
      </w:r>
      <w:r>
        <w:rPr>
          <w:rFonts w:ascii="Calibri" w:cs="Calibri" w:eastAsia="Calibri" w:hAnsi="Calibri"/>
          <w:sz w:val="20"/>
          <w:szCs w:val="20"/>
        </w:rPr>
        <w:t xml:space="preserve">CEPEX — Centre de Promotion des Exportations — </w:t>
      </w:r>
      <w:hyperlink w:history="1" r:id="rIdvh9omvddbuvhatrxambaa">
        <w:r>
          <w:rPr>
            <w:rStyle w:val="Hyperlink"/>
            <w:rFonts w:ascii="Calibri" w:cs="Calibri" w:eastAsia="Calibri" w:hAnsi="Calibri"/>
            <w:sz w:val="20"/>
            <w:szCs w:val="20"/>
          </w:rPr>
          <w:t xml:space="preserve">https://tunisiaexport.tn/en/tunisia-export</w:t>
        </w:r>
      </w:hyperlink>
    </w:p>
    <w:p>
      <w:pPr>
        <w:spacing w:after="100" w:line="280"/>
        <w:ind w:left="360" w:hanging="360"/>
      </w:pPr>
      <w:r>
        <w:rPr>
          <w:rFonts w:ascii="Calibri" w:cs="Calibri" w:eastAsia="Calibri" w:hAnsi="Calibri"/>
          <w:b/>
          <w:bCs/>
          <w:color w:val="1F3A68"/>
          <w:sz w:val="20"/>
          <w:szCs w:val="20"/>
        </w:rPr>
        <w:t xml:space="preserve">[9] </w:t>
      </w:r>
      <w:r>
        <w:rPr>
          <w:rFonts w:ascii="Calibri" w:cs="Calibri" w:eastAsia="Calibri" w:hAnsi="Calibri"/>
          <w:sz w:val="20"/>
          <w:szCs w:val="20"/>
        </w:rPr>
        <w:t xml:space="preserve">Tunisia Investment Authority — TIA — </w:t>
      </w:r>
      <w:hyperlink w:history="1" r:id="rId9htbbj3n_xons_bv-kil9">
        <w:r>
          <w:rPr>
            <w:rStyle w:val="Hyperlink"/>
            <w:rFonts w:ascii="Calibri" w:cs="Calibri" w:eastAsia="Calibri" w:hAnsi="Calibri"/>
            <w:sz w:val="20"/>
            <w:szCs w:val="20"/>
          </w:rPr>
          <w:t xml:space="preserve">https://www.tia.gov.tn</w:t>
        </w:r>
      </w:hyperlink>
    </w:p>
    <w:p>
      <w:pPr>
        <w:spacing w:after="100" w:line="280"/>
        <w:ind w:left="360" w:hanging="360"/>
      </w:pPr>
      <w:r>
        <w:rPr>
          <w:rFonts w:ascii="Calibri" w:cs="Calibri" w:eastAsia="Calibri" w:hAnsi="Calibri"/>
          <w:b/>
          <w:bCs/>
          <w:color w:val="1F3A68"/>
          <w:sz w:val="20"/>
          <w:szCs w:val="20"/>
        </w:rPr>
        <w:t xml:space="preserve">[10] </w:t>
      </w:r>
      <w:r>
        <w:rPr>
          <w:rFonts w:ascii="Calibri" w:cs="Calibri" w:eastAsia="Calibri" w:hAnsi="Calibri"/>
          <w:sz w:val="20"/>
          <w:szCs w:val="20"/>
        </w:rPr>
        <w:t xml:space="preserve">Registre National des Entreprises — RNE — </w:t>
      </w:r>
      <w:hyperlink w:history="1" r:id="rIdco3u9xglruxug4nmyuyas">
        <w:r>
          <w:rPr>
            <w:rStyle w:val="Hyperlink"/>
            <w:rFonts w:ascii="Calibri" w:cs="Calibri" w:eastAsia="Calibri" w:hAnsi="Calibri"/>
            <w:sz w:val="20"/>
            <w:szCs w:val="20"/>
          </w:rPr>
          <w:t xml:space="preserve">https://www.registre-entreprises.tn/rne-public/</w:t>
        </w:r>
      </w:hyperlink>
    </w:p>
    <w:p>
      <w:pPr>
        <w:spacing w:after="100" w:line="280"/>
        <w:ind w:left="360" w:hanging="360"/>
      </w:pPr>
      <w:r>
        <w:rPr>
          <w:rFonts w:ascii="Calibri" w:cs="Calibri" w:eastAsia="Calibri" w:hAnsi="Calibri"/>
          <w:b/>
          <w:bCs/>
          <w:color w:val="1F3A68"/>
          <w:sz w:val="20"/>
          <w:szCs w:val="20"/>
        </w:rPr>
        <w:t xml:space="preserve">[11] </w:t>
      </w:r>
      <w:r>
        <w:rPr>
          <w:rFonts w:ascii="Calibri" w:cs="Calibri" w:eastAsia="Calibri" w:hAnsi="Calibri"/>
          <w:sz w:val="20"/>
          <w:szCs w:val="20"/>
        </w:rPr>
        <w:t xml:space="preserve">INNORPI — La protection par brevet d'invention — </w:t>
      </w:r>
      <w:hyperlink w:history="1" r:id="rIdl4j3dzsjadbp438fjprpl">
        <w:r>
          <w:rPr>
            <w:rStyle w:val="Hyperlink"/>
            <w:rFonts w:ascii="Calibri" w:cs="Calibri" w:eastAsia="Calibri" w:hAnsi="Calibri"/>
            <w:sz w:val="20"/>
            <w:szCs w:val="20"/>
          </w:rPr>
          <w:t xml:space="preserve">https://www.innorpi.tn/fr/la-protection-par-brevet-dinvention</w:t>
        </w:r>
      </w:hyperlink>
    </w:p>
    <w:p>
      <w:pPr>
        <w:spacing w:after="100" w:line="280"/>
        <w:ind w:left="360" w:hanging="360"/>
      </w:pPr>
      <w:r>
        <w:rPr>
          <w:rFonts w:ascii="Calibri" w:cs="Calibri" w:eastAsia="Calibri" w:hAnsi="Calibri"/>
          <w:b/>
          <w:bCs/>
          <w:color w:val="1F3A68"/>
          <w:sz w:val="20"/>
          <w:szCs w:val="20"/>
        </w:rPr>
        <w:t xml:space="preserve">[12] </w:t>
      </w:r>
      <w:r>
        <w:rPr>
          <w:rFonts w:ascii="Calibri" w:cs="Calibri" w:eastAsia="Calibri" w:hAnsi="Calibri"/>
          <w:sz w:val="20"/>
          <w:szCs w:val="20"/>
        </w:rPr>
        <w:t xml:space="preserve">Office National de l'Artisanat — ONA — </w:t>
      </w:r>
      <w:hyperlink w:history="1" r:id="rId8zabuyyeuxy-c4hkh5hcd">
        <w:r>
          <w:rPr>
            <w:rStyle w:val="Hyperlink"/>
            <w:rFonts w:ascii="Calibri" w:cs="Calibri" w:eastAsia="Calibri" w:hAnsi="Calibri"/>
            <w:sz w:val="20"/>
            <w:szCs w:val="20"/>
          </w:rPr>
          <w:t xml:space="preserve">https://www.artisanat.nat.tn</w:t>
        </w:r>
      </w:hyperlink>
    </w:p>
    <w:p>
      <w:pPr>
        <w:spacing w:after="100" w:line="280"/>
        <w:ind w:left="360" w:hanging="360"/>
      </w:pPr>
      <w:r>
        <w:rPr>
          <w:rFonts w:ascii="Calibri" w:cs="Calibri" w:eastAsia="Calibri" w:hAnsi="Calibri"/>
          <w:b/>
          <w:bCs/>
          <w:color w:val="1F3A68"/>
          <w:sz w:val="20"/>
          <w:szCs w:val="20"/>
        </w:rPr>
        <w:t xml:space="preserve">[16] </w:t>
      </w:r>
      <w:r>
        <w:rPr>
          <w:rFonts w:ascii="Calibri" w:cs="Calibri" w:eastAsia="Calibri" w:hAnsi="Calibri"/>
          <w:sz w:val="20"/>
          <w:szCs w:val="20"/>
        </w:rPr>
        <w:t xml:space="preserve">CNSS — Affiliation des employeurs — </w:t>
      </w:r>
      <w:hyperlink w:history="1" r:id="rIdenkzykeouxnikomyfwnwt">
        <w:r>
          <w:rPr>
            <w:rStyle w:val="Hyperlink"/>
            <w:rFonts w:ascii="Calibri" w:cs="Calibri" w:eastAsia="Calibri" w:hAnsi="Calibri"/>
            <w:sz w:val="20"/>
            <w:szCs w:val="20"/>
          </w:rPr>
          <w:t xml:space="preserve">https://www.cnss.tn/en/web/employeur/emp_asset_services/-/asset_publisher/sYQ8/content/emp_secteure_-non_agr3_affiliation</w:t>
        </w:r>
      </w:hyperlink>
    </w:p>
    <w:p>
      <w:pPr>
        <w:spacing w:after="100" w:line="280"/>
        <w:ind w:left="360" w:hanging="360"/>
      </w:pPr>
      <w:r>
        <w:rPr>
          <w:rFonts w:ascii="Calibri" w:cs="Calibri" w:eastAsia="Calibri" w:hAnsi="Calibri"/>
          <w:b/>
          <w:bCs/>
          <w:color w:val="1F3A68"/>
          <w:sz w:val="20"/>
          <w:szCs w:val="20"/>
        </w:rPr>
        <w:t xml:space="preserve">[17] </w:t>
      </w:r>
      <w:r>
        <w:rPr>
          <w:rFonts w:ascii="Calibri" w:cs="Calibri" w:eastAsia="Calibri" w:hAnsi="Calibri"/>
          <w:sz w:val="20"/>
          <w:szCs w:val="20"/>
        </w:rPr>
        <w:t xml:space="preserve">ANETI — Contrat d'Initiation à la Vie Professionnelle (CIVP) — </w:t>
      </w:r>
      <w:hyperlink w:history="1" r:id="rIdoe4af4flwn2sjpnbrjseg">
        <w:r>
          <w:rPr>
            <w:rStyle w:val="Hyperlink"/>
            <w:rFonts w:ascii="Calibri" w:cs="Calibri" w:eastAsia="Calibri" w:hAnsi="Calibri"/>
            <w:sz w:val="20"/>
            <w:szCs w:val="20"/>
          </w:rPr>
          <w:t xml:space="preserve">https://www.emploi.nat.tn/fo/Fr/global.php?menu1=75&amp;libre=1132</w:t>
        </w:r>
      </w:hyperlink>
    </w:p>
    <w:p>
      <w:pPr>
        <w:spacing w:after="100" w:line="280"/>
        <w:ind w:left="360" w:hanging="360"/>
      </w:pPr>
      <w:r>
        <w:rPr>
          <w:rFonts w:ascii="Calibri" w:cs="Calibri" w:eastAsia="Calibri" w:hAnsi="Calibri"/>
          <w:b/>
          <w:bCs/>
          <w:color w:val="1F3A68"/>
          <w:sz w:val="20"/>
          <w:szCs w:val="20"/>
        </w:rPr>
        <w:t xml:space="preserve">[30] </w:t>
      </w:r>
      <w:r>
        <w:rPr>
          <w:rFonts w:ascii="Calibri" w:cs="Calibri" w:eastAsia="Calibri" w:hAnsi="Calibri"/>
          <w:sz w:val="20"/>
          <w:szCs w:val="20"/>
        </w:rPr>
        <w:t xml:space="preserve">APII — Développement Régional, incitations fiscales — </w:t>
      </w:r>
      <w:hyperlink w:history="1" r:id="rIdxr14pgme5hfgzhoxsfsyb">
        <w:r>
          <w:rPr>
            <w:rStyle w:val="Hyperlink"/>
            <w:rFonts w:ascii="Calibri" w:cs="Calibri" w:eastAsia="Calibri" w:hAnsi="Calibri"/>
            <w:sz w:val="20"/>
            <w:szCs w:val="20"/>
          </w:rPr>
          <w:t xml:space="preserve">https://www.tunisieindustrie.nat.tn/fr/download/cfga/fiches/7.pdf</w:t>
        </w:r>
      </w:hyperlink>
    </w:p>
    <w:p>
      <w:pPr>
        <w:pStyle w:val="Heading3"/>
        <w:spacing w:after="100" w:before="220"/>
      </w:pPr>
      <w:r>
        <w:rPr>
          <w:rFonts w:ascii="Calibri" w:cs="Calibri" w:eastAsia="Calibri" w:hAnsi="Calibri"/>
          <w:b/>
          <w:bCs/>
          <w:color w:val="C0392B"/>
          <w:sz w:val="24"/>
          <w:szCs w:val="24"/>
        </w:rPr>
        <w:t xml:space="preserve">Analyses, observatoires et presse</w:t>
      </w:r>
    </w:p>
    <w:p>
      <w:pPr>
        <w:spacing w:after="100" w:line="280"/>
        <w:ind w:left="360" w:hanging="360"/>
      </w:pPr>
      <w:r>
        <w:rPr>
          <w:rFonts w:ascii="Calibri" w:cs="Calibri" w:eastAsia="Calibri" w:hAnsi="Calibri"/>
          <w:b/>
          <w:bCs/>
          <w:color w:val="1F3A68"/>
          <w:sz w:val="20"/>
          <w:szCs w:val="20"/>
        </w:rPr>
        <w:t xml:space="preserve">[19] </w:t>
      </w:r>
      <w:r>
        <w:rPr>
          <w:rFonts w:ascii="Calibri" w:cs="Calibri" w:eastAsia="Calibri" w:hAnsi="Calibri"/>
          <w:sz w:val="20"/>
          <w:szCs w:val="20"/>
        </w:rPr>
        <w:t xml:space="preserve">Tunisie Entreprise — Capital Minimum SARL — </w:t>
      </w:r>
      <w:hyperlink w:history="1" r:id="rIdvyffzfaccmfiwkhhh1j36">
        <w:r>
          <w:rPr>
            <w:rStyle w:val="Hyperlink"/>
            <w:rFonts w:ascii="Calibri" w:cs="Calibri" w:eastAsia="Calibri" w:hAnsi="Calibri"/>
            <w:sz w:val="20"/>
            <w:szCs w:val="20"/>
          </w:rPr>
          <w:t xml:space="preserve">https://www.tunisie-entreprise.com/info-sarl/capital-minimum-sarl-tunisie</w:t>
        </w:r>
      </w:hyperlink>
    </w:p>
    <w:p>
      <w:pPr>
        <w:spacing w:after="100" w:line="280"/>
        <w:ind w:left="360" w:hanging="360"/>
      </w:pPr>
      <w:r>
        <w:rPr>
          <w:rFonts w:ascii="Calibri" w:cs="Calibri" w:eastAsia="Calibri" w:hAnsi="Calibri"/>
          <w:b/>
          <w:bCs/>
          <w:color w:val="1F3A68"/>
          <w:sz w:val="20"/>
          <w:szCs w:val="20"/>
        </w:rPr>
        <w:t xml:space="preserve">[20] </w:t>
      </w:r>
      <w:r>
        <w:rPr>
          <w:rFonts w:ascii="Calibri" w:cs="Calibri" w:eastAsia="Calibri" w:hAnsi="Calibri"/>
          <w:sz w:val="20"/>
          <w:szCs w:val="20"/>
        </w:rPr>
        <w:t xml:space="preserve">Kawanin — Création d'une SUARL en Tunisie — </w:t>
      </w:r>
      <w:hyperlink w:history="1" r:id="rIdfurt7vrhh6iwxoory3u8i">
        <w:r>
          <w:rPr>
            <w:rStyle w:val="Hyperlink"/>
            <w:rFonts w:ascii="Calibri" w:cs="Calibri" w:eastAsia="Calibri" w:hAnsi="Calibri"/>
            <w:sz w:val="20"/>
            <w:szCs w:val="20"/>
          </w:rPr>
          <w:t xml:space="preserve">https://www.kawanin.com/suarl-votre-cle-pour-reussir-votre-aventure-entrepreneuriale-en-tunisie/</w:t>
        </w:r>
      </w:hyperlink>
    </w:p>
    <w:p>
      <w:pPr>
        <w:spacing w:after="100" w:line="280"/>
        <w:ind w:left="360" w:hanging="360"/>
      </w:pPr>
      <w:r>
        <w:rPr>
          <w:rFonts w:ascii="Calibri" w:cs="Calibri" w:eastAsia="Calibri" w:hAnsi="Calibri"/>
          <w:b/>
          <w:bCs/>
          <w:color w:val="1F3A68"/>
          <w:sz w:val="20"/>
          <w:szCs w:val="20"/>
        </w:rPr>
        <w:t xml:space="preserve">[21] </w:t>
      </w:r>
      <w:r>
        <w:rPr>
          <w:rFonts w:ascii="Calibri" w:cs="Calibri" w:eastAsia="Calibri" w:hAnsi="Calibri"/>
          <w:sz w:val="20"/>
          <w:szCs w:val="20"/>
        </w:rPr>
        <w:t xml:space="preserve">Business News — Loi de Finances 2026 : régime forfaitaire et amnistie fiscale — </w:t>
      </w:r>
      <w:hyperlink w:history="1" r:id="rIdxf0gg03lj751b1hguehtm">
        <w:r>
          <w:rPr>
            <w:rStyle w:val="Hyperlink"/>
            <w:rFonts w:ascii="Calibri" w:cs="Calibri" w:eastAsia="Calibri" w:hAnsi="Calibri"/>
            <w:sz w:val="20"/>
            <w:szCs w:val="20"/>
          </w:rPr>
          <w:t xml:space="preserve">https://businessnews.com.tn/2025/12/16/lf-2026-fiscalite-du-patrimoine-regime-forfaitaire-et-amnistie-fiscale-les-eclairages-de-bounenni/1378770/</w:t>
        </w:r>
      </w:hyperlink>
    </w:p>
    <w:p>
      <w:pPr>
        <w:spacing w:after="100" w:line="280"/>
        <w:ind w:left="360" w:hanging="360"/>
      </w:pPr>
      <w:r>
        <w:rPr>
          <w:rFonts w:ascii="Calibri" w:cs="Calibri" w:eastAsia="Calibri" w:hAnsi="Calibri"/>
          <w:b/>
          <w:bCs/>
          <w:color w:val="1F3A68"/>
          <w:sz w:val="20"/>
          <w:szCs w:val="20"/>
        </w:rPr>
        <w:t xml:space="preserve">[23] </w:t>
      </w:r>
      <w:r>
        <w:rPr>
          <w:rFonts w:ascii="Calibri" w:cs="Calibri" w:eastAsia="Calibri" w:hAnsi="Calibri"/>
          <w:sz w:val="20"/>
          <w:szCs w:val="20"/>
        </w:rPr>
        <w:t xml:space="preserve">Swiver — Barème IRPP 2025 : les tranches officielles — </w:t>
      </w:r>
      <w:hyperlink w:history="1" r:id="rIdubgficcj3nwwqod6xumyk">
        <w:r>
          <w:rPr>
            <w:rStyle w:val="Hyperlink"/>
            <w:rFonts w:ascii="Calibri" w:cs="Calibri" w:eastAsia="Calibri" w:hAnsi="Calibri"/>
            <w:sz w:val="20"/>
            <w:szCs w:val="20"/>
          </w:rPr>
          <w:t xml:space="preserve">https://swiver.io/blog/bareme-impot-2025/</w:t>
        </w:r>
      </w:hyperlink>
    </w:p>
    <w:p>
      <w:pPr>
        <w:spacing w:after="100" w:line="280"/>
        <w:ind w:left="360" w:hanging="360"/>
      </w:pPr>
      <w:r>
        <w:rPr>
          <w:rFonts w:ascii="Calibri" w:cs="Calibri" w:eastAsia="Calibri" w:hAnsi="Calibri"/>
          <w:b/>
          <w:bCs/>
          <w:color w:val="1F3A68"/>
          <w:sz w:val="20"/>
          <w:szCs w:val="20"/>
        </w:rPr>
        <w:t xml:space="preserve">[24] </w:t>
      </w:r>
      <w:r>
        <w:rPr>
          <w:rFonts w:ascii="Calibri" w:cs="Calibri" w:eastAsia="Calibri" w:hAnsi="Calibri"/>
          <w:sz w:val="20"/>
          <w:szCs w:val="20"/>
        </w:rPr>
        <w:t xml:space="preserve">Paie-Tunisie — Barème d'imposition du revenu à partir de 2025 — </w:t>
      </w:r>
      <w:hyperlink w:history="1" r:id="rIdmi6mosiid6sgcijwzcbi5">
        <w:r>
          <w:rPr>
            <w:rStyle w:val="Hyperlink"/>
            <w:rFonts w:ascii="Calibri" w:cs="Calibri" w:eastAsia="Calibri" w:hAnsi="Calibri"/>
            <w:sz w:val="20"/>
            <w:szCs w:val="20"/>
          </w:rPr>
          <w:t xml:space="preserve">https://paie-tunisie.com/412/fr/232/publications/bareme-d-imposition-du-revenu-en-tunisie-a-partir-de-2025</w:t>
        </w:r>
      </w:hyperlink>
    </w:p>
    <w:p>
      <w:pPr>
        <w:spacing w:after="100" w:line="280"/>
        <w:ind w:left="360" w:hanging="360"/>
      </w:pPr>
      <w:r>
        <w:rPr>
          <w:rFonts w:ascii="Calibri" w:cs="Calibri" w:eastAsia="Calibri" w:hAnsi="Calibri"/>
          <w:b/>
          <w:bCs/>
          <w:color w:val="1F3A68"/>
          <w:sz w:val="20"/>
          <w:szCs w:val="20"/>
        </w:rPr>
        <w:t xml:space="preserve">[25] </w:t>
      </w:r>
      <w:r>
        <w:rPr>
          <w:rFonts w:ascii="Calibri" w:cs="Calibri" w:eastAsia="Calibri" w:hAnsi="Calibri"/>
          <w:sz w:val="20"/>
          <w:szCs w:val="20"/>
        </w:rPr>
        <w:t xml:space="preserve">La Presse — Contribution sociale de solidarité, modalités 2026 — </w:t>
      </w:r>
      <w:hyperlink w:history="1" r:id="rIdkmy32b4fjecipynem7xak">
        <w:r>
          <w:rPr>
            <w:rStyle w:val="Hyperlink"/>
            <w:rFonts w:ascii="Calibri" w:cs="Calibri" w:eastAsia="Calibri" w:hAnsi="Calibri"/>
            <w:sz w:val="20"/>
            <w:szCs w:val="20"/>
          </w:rPr>
          <w:t xml:space="preserve">https://www.lapresse.tn/2026/01/14/contribution-sociale-de-solidarite-nouvelles-modalites-confirmees-pour-lannee-2026/</w:t>
        </w:r>
      </w:hyperlink>
    </w:p>
    <w:p>
      <w:pPr>
        <w:spacing w:after="100" w:line="280"/>
        <w:ind w:left="360" w:hanging="360"/>
      </w:pPr>
      <w:r>
        <w:rPr>
          <w:rFonts w:ascii="Calibri" w:cs="Calibri" w:eastAsia="Calibri" w:hAnsi="Calibri"/>
          <w:b/>
          <w:bCs/>
          <w:color w:val="1F3A68"/>
          <w:sz w:val="20"/>
          <w:szCs w:val="20"/>
        </w:rPr>
        <w:t xml:space="preserve">[26] </w:t>
      </w:r>
      <w:r>
        <w:rPr>
          <w:rFonts w:ascii="Calibri" w:cs="Calibri" w:eastAsia="Calibri" w:hAnsi="Calibri"/>
          <w:sz w:val="20"/>
          <w:szCs w:val="20"/>
        </w:rPr>
        <w:t xml:space="preserve">United Advisers — Loi de Finances 2025, nouveaux taux d'IS — </w:t>
      </w:r>
      <w:hyperlink w:history="1" r:id="rId9tdl6d433jdgfgngjx-9_">
        <w:r>
          <w:rPr>
            <w:rStyle w:val="Hyperlink"/>
            <w:rFonts w:ascii="Calibri" w:cs="Calibri" w:eastAsia="Calibri" w:hAnsi="Calibri"/>
            <w:sz w:val="20"/>
            <w:szCs w:val="20"/>
          </w:rPr>
          <w:t xml:space="preserve">https://ua.tn/loi-de-finances-2025-nouveau-taux-dis/</w:t>
        </w:r>
      </w:hyperlink>
    </w:p>
    <w:p>
      <w:pPr>
        <w:spacing w:after="100" w:line="280"/>
        <w:ind w:left="360" w:hanging="360"/>
      </w:pPr>
      <w:r>
        <w:rPr>
          <w:rFonts w:ascii="Calibri" w:cs="Calibri" w:eastAsia="Calibri" w:hAnsi="Calibri"/>
          <w:b/>
          <w:bCs/>
          <w:color w:val="1F3A68"/>
          <w:sz w:val="20"/>
          <w:szCs w:val="20"/>
        </w:rPr>
        <w:t xml:space="preserve">[27] </w:t>
      </w:r>
      <w:r>
        <w:rPr>
          <w:rFonts w:ascii="Calibri" w:cs="Calibri" w:eastAsia="Calibri" w:hAnsi="Calibri"/>
          <w:sz w:val="20"/>
          <w:szCs w:val="20"/>
        </w:rPr>
        <w:t xml:space="preserve">Synergie-AC — Principales mesures Loi de Finances 2025 — </w:t>
      </w:r>
      <w:hyperlink w:history="1" r:id="rIdxg-xwxfgk8pd_txabnkk6">
        <w:r>
          <w:rPr>
            <w:rStyle w:val="Hyperlink"/>
            <w:rFonts w:ascii="Calibri" w:cs="Calibri" w:eastAsia="Calibri" w:hAnsi="Calibri"/>
            <w:sz w:val="20"/>
            <w:szCs w:val="20"/>
          </w:rPr>
          <w:t xml:space="preserve">https://synergie-ac.com/principales-mesures-loi-de-finances-2025/</w:t>
        </w:r>
      </w:hyperlink>
    </w:p>
    <w:p>
      <w:pPr>
        <w:spacing w:after="100" w:line="280"/>
        <w:ind w:left="360" w:hanging="360"/>
      </w:pPr>
      <w:r>
        <w:rPr>
          <w:rFonts w:ascii="Calibri" w:cs="Calibri" w:eastAsia="Calibri" w:hAnsi="Calibri"/>
          <w:b/>
          <w:bCs/>
          <w:color w:val="1F3A68"/>
          <w:sz w:val="20"/>
          <w:szCs w:val="20"/>
        </w:rPr>
        <w:t xml:space="preserve">[28] </w:t>
      </w:r>
      <w:r>
        <w:rPr>
          <w:rFonts w:ascii="Calibri" w:cs="Calibri" w:eastAsia="Calibri" w:hAnsi="Calibri"/>
          <w:sz w:val="20"/>
          <w:szCs w:val="20"/>
        </w:rPr>
        <w:t xml:space="preserve">Trading Economics — Taux d'imposition des sociétés en Tunisie — </w:t>
      </w:r>
      <w:hyperlink w:history="1" r:id="rIddeeeym6rogfaftpgjbtey">
        <w:r>
          <w:rPr>
            <w:rStyle w:val="Hyperlink"/>
            <w:rFonts w:ascii="Calibri" w:cs="Calibri" w:eastAsia="Calibri" w:hAnsi="Calibri"/>
            <w:sz w:val="20"/>
            <w:szCs w:val="20"/>
          </w:rPr>
          <w:t xml:space="preserve">https://fr.tradingeconomics.com/tunisia/corporate-tax-rate</w:t>
        </w:r>
      </w:hyperlink>
    </w:p>
    <w:p>
      <w:pPr>
        <w:spacing w:after="100" w:line="280"/>
        <w:ind w:left="360" w:hanging="360"/>
      </w:pPr>
      <w:r>
        <w:rPr>
          <w:rFonts w:ascii="Calibri" w:cs="Calibri" w:eastAsia="Calibri" w:hAnsi="Calibri"/>
          <w:b/>
          <w:bCs/>
          <w:color w:val="1F3A68"/>
          <w:sz w:val="20"/>
          <w:szCs w:val="20"/>
        </w:rPr>
        <w:t xml:space="preserve">[29] </w:t>
      </w:r>
      <w:r>
        <w:rPr>
          <w:rFonts w:ascii="Calibri" w:cs="Calibri" w:eastAsia="Calibri" w:hAnsi="Calibri"/>
          <w:sz w:val="20"/>
          <w:szCs w:val="20"/>
        </w:rPr>
        <w:t xml:space="preserve">IRBE7 — Loi de finances 2026, propositions IACE — </w:t>
      </w:r>
      <w:hyperlink w:history="1" r:id="rIdbxfyrhtnwypjjcyi-y5iy">
        <w:r>
          <w:rPr>
            <w:rStyle w:val="Hyperlink"/>
            <w:rFonts w:ascii="Calibri" w:cs="Calibri" w:eastAsia="Calibri" w:hAnsi="Calibri"/>
            <w:sz w:val="20"/>
            <w:szCs w:val="20"/>
          </w:rPr>
          <w:t xml:space="preserve">https://irbe7.com/actualites/articles/loi-de-finances-2026-liace-propose-une-reforme-fiscale-avec-un-is-a-15-pour-lindustrie/6921cee9b41beb7e40bbb1ca</w:t>
        </w:r>
      </w:hyperlink>
    </w:p>
    <w:p>
      <w:pPr>
        <w:spacing w:after="200" w:before="600"/>
        <w:jc w:val="center"/>
      </w:pPr>
      <w:r>
        <w:rPr>
          <w:rFonts w:ascii="Calibri" w:cs="Calibri" w:eastAsia="Calibri" w:hAnsi="Calibri"/>
          <w:i/>
          <w:iCs/>
          <w:color w:val="4A4A4A"/>
          <w:sz w:val="22"/>
          <w:szCs w:val="22"/>
        </w:rPr>
        <w:t xml:space="preserve">— Fin du livre blanc —</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888888"/>
        <w:sz w:val="16"/>
        <w:szCs w:val="16"/>
      </w:rPr>
      <w:t xml:space="preserve">Page </w:t>
    </w:r>
    <w:r>
      <w:rPr>
        <w:rFonts w:ascii="Calibri" w:cs="Calibri" w:eastAsia="Calibri" w:hAnsi="Calibri"/>
        <w:color w:val="888888"/>
        <w:sz w:val="16"/>
        <w:szCs w:val="16"/>
      </w:rPr>
      <w:fldChar w:fldCharType="begin"/>
      <w:instrText xml:space="preserve">PAGE</w:instrText>
      <w:fldChar w:fldCharType="separate"/>
      <w:fldChar w:fldCharType="end"/>
    </w:r>
    <w:r>
      <w:rPr>
        <w:rFonts w:ascii="Calibri" w:cs="Calibri" w:eastAsia="Calibri" w:hAnsi="Calibri"/>
        <w:color w:val="888888"/>
        <w:sz w:val="16"/>
        <w:szCs w:val="16"/>
      </w:rPr>
      <w:t xml:space="preserve"> / </w:t>
    </w:r>
    <w:r>
      <w:rPr>
        <w:rFonts w:ascii="Calibri" w:cs="Calibri" w:eastAsia="Calibri" w:hAnsi="Calibri"/>
        <w:color w:val="888888"/>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r>
        <w:rPr>
          <w:rStyle w:val="FootnoteReference"/>
        </w:rPr>
        <w:footnoteRef/>
      </w:r>
      <w:r>
        <w:rPr>
          <w:rFonts w:ascii="Calibri" w:cs="Calibri" w:eastAsia="Calibri" w:hAnsi="Calibri"/>
          <w:sz w:val="18"/>
          <w:szCs w:val="18"/>
        </w:rPr>
        <w:t xml:space="preserve">Wikipedia — Agence de promotion de l'industrie et de l'innovation (APII). </w:t>
      </w:r>
      <w:hyperlink w:history="1" r:id="rId_qotkvn4fsx7sc6zeafgi">
        <w:r>
          <w:rPr>
            <w:rStyle w:val="Hyperlink"/>
            <w:rFonts w:ascii="Calibri" w:cs="Calibri" w:eastAsia="Calibri" w:hAnsi="Calibri"/>
            <w:sz w:val="18"/>
            <w:szCs w:val="18"/>
          </w:rPr>
          <w:t xml:space="preserve">fr.wikipedia.org/wiki/APII</w:t>
        </w:r>
      </w:hyperlink>
    </w:p>
  </w:footnote>
  <w:footnote w:id="2">
    <w:p>
      <w:r>
        <w:rPr>
          <w:rStyle w:val="FootnoteReference"/>
        </w:rPr>
        <w:footnoteRef/>
      </w:r>
      <w:r>
        <w:rPr>
          <w:rFonts w:ascii="Calibri" w:cs="Calibri" w:eastAsia="Calibri" w:hAnsi="Calibri"/>
          <w:sz w:val="18"/>
          <w:szCs w:val="18"/>
        </w:rPr>
        <w:t xml:space="preserve">APII — Procédures de création d'entreprise. </w:t>
      </w:r>
      <w:hyperlink w:history="1" r:id="rIdbwmhsu1aobk84ojlj5jws">
        <w:r>
          <w:rPr>
            <w:rStyle w:val="Hyperlink"/>
            <w:rFonts w:ascii="Calibri" w:cs="Calibri" w:eastAsia="Calibri" w:hAnsi="Calibri"/>
            <w:sz w:val="18"/>
            <w:szCs w:val="18"/>
          </w:rPr>
          <w:t xml:space="preserve">tunisieindustrie.nat.tn</w:t>
        </w:r>
      </w:hyperlink>
    </w:p>
  </w:footnote>
  <w:footnote w:id="3">
    <w:p>
      <w:r>
        <w:rPr>
          <w:rStyle w:val="FootnoteReference"/>
        </w:rPr>
        <w:footnoteRef/>
      </w:r>
      <w:r>
        <w:rPr>
          <w:rFonts w:ascii="Calibri" w:cs="Calibri" w:eastAsia="Calibri" w:hAnsi="Calibri"/>
          <w:sz w:val="18"/>
          <w:szCs w:val="18"/>
        </w:rPr>
        <w:t xml:space="preserve">Loi n° 2017-8 du 14 février 2017 portant refonte du dispositif des avantages fiscaux (Ministère des Finances). </w:t>
      </w:r>
      <w:hyperlink w:history="1" r:id="rIdb2o-vi_8wbthjzurerr2k">
        <w:r>
          <w:rPr>
            <w:rStyle w:val="Hyperlink"/>
            <w:rFonts w:ascii="Calibri" w:cs="Calibri" w:eastAsia="Calibri" w:hAnsi="Calibri"/>
            <w:sz w:val="18"/>
            <w:szCs w:val="18"/>
          </w:rPr>
          <w:t xml:space="preserve">finances.gov.tn — Loi 2017-8</w:t>
        </w:r>
      </w:hyperlink>
    </w:p>
  </w:footnote>
  <w:footnote w:id="4">
    <w:p>
      <w:r>
        <w:rPr>
          <w:rStyle w:val="FootnoteReference"/>
        </w:rPr>
        <w:footnoteRef/>
      </w:r>
      <w:r>
        <w:rPr>
          <w:rFonts w:ascii="Calibri" w:cs="Calibri" w:eastAsia="Calibri" w:hAnsi="Calibri"/>
          <w:sz w:val="18"/>
          <w:szCs w:val="18"/>
        </w:rPr>
        <w:t xml:space="preserve">APII — Formalités : Attestation d'entrée en production. </w:t>
      </w:r>
      <w:hyperlink w:history="1" r:id="rIdk9wyk0hl6crotzapvpotk">
        <w:r>
          <w:rPr>
            <w:rStyle w:val="Hyperlink"/>
            <w:rFonts w:ascii="Calibri" w:cs="Calibri" w:eastAsia="Calibri" w:hAnsi="Calibri"/>
            <w:sz w:val="18"/>
            <w:szCs w:val="18"/>
          </w:rPr>
          <w:t xml:space="preserve">formalites.industrie.gov.tn</w:t>
        </w:r>
      </w:hyperlink>
    </w:p>
  </w:footnote>
  <w:footnote w:id="5">
    <w:p>
      <w:r>
        <w:rPr>
          <w:rStyle w:val="FootnoteReference"/>
        </w:rPr>
        <w:footnoteRef/>
      </w:r>
      <w:r>
        <w:rPr>
          <w:rFonts w:ascii="Calibri" w:cs="Calibri" w:eastAsia="Calibri" w:hAnsi="Calibri"/>
          <w:sz w:val="18"/>
          <w:szCs w:val="18"/>
        </w:rPr>
        <w:t xml:space="preserve">Agence de Promotion des Investissements Agricoles (APIA). </w:t>
      </w:r>
      <w:hyperlink w:history="1" r:id="rIdpe5pdzu5pz8hq-h1x4fxe">
        <w:r>
          <w:rPr>
            <w:rStyle w:val="Hyperlink"/>
            <w:rFonts w:ascii="Calibri" w:cs="Calibri" w:eastAsia="Calibri" w:hAnsi="Calibri"/>
            <w:sz w:val="18"/>
            <w:szCs w:val="18"/>
          </w:rPr>
          <w:t xml:space="preserve">apia.com.tn</w:t>
        </w:r>
      </w:hyperlink>
    </w:p>
  </w:footnote>
  <w:footnote w:id="6">
    <w:p>
      <w:r>
        <w:rPr>
          <w:rStyle w:val="FootnoteReference"/>
        </w:rPr>
        <w:footnoteRef/>
      </w:r>
      <w:r>
        <w:rPr>
          <w:rFonts w:ascii="Calibri" w:cs="Calibri" w:eastAsia="Calibri" w:hAnsi="Calibri"/>
          <w:sz w:val="18"/>
          <w:szCs w:val="18"/>
        </w:rPr>
        <w:t xml:space="preserve">Green Climate Fund — APIA, profil institutionnel. </w:t>
      </w:r>
      <w:hyperlink w:history="1" r:id="rIdkc9oqtd3lnikfw2oazxpi">
        <w:r>
          <w:rPr>
            <w:rStyle w:val="Hyperlink"/>
            <w:rFonts w:ascii="Calibri" w:cs="Calibri" w:eastAsia="Calibri" w:hAnsi="Calibri"/>
            <w:sz w:val="18"/>
            <w:szCs w:val="18"/>
          </w:rPr>
          <w:t xml:space="preserve">greenclimate.fund</w:t>
        </w:r>
      </w:hyperlink>
    </w:p>
  </w:footnote>
  <w:footnote w:id="7">
    <w:p>
      <w:r>
        <w:rPr>
          <w:rStyle w:val="FootnoteReference"/>
        </w:rPr>
        <w:footnoteRef/>
      </w:r>
      <w:r>
        <w:rPr>
          <w:rFonts w:ascii="Calibri" w:cs="Calibri" w:eastAsia="Calibri" w:hAnsi="Calibri"/>
          <w:sz w:val="18"/>
          <w:szCs w:val="18"/>
        </w:rPr>
        <w:t xml:space="preserve">FIPA-Tunisia — Foreign Investment Promotion Agency. </w:t>
      </w:r>
      <w:hyperlink w:history="1" r:id="rIdmtu_j4focynkxbvk0fyef">
        <w:r>
          <w:rPr>
            <w:rStyle w:val="Hyperlink"/>
            <w:rFonts w:ascii="Calibri" w:cs="Calibri" w:eastAsia="Calibri" w:hAnsi="Calibri"/>
            <w:sz w:val="18"/>
            <w:szCs w:val="18"/>
          </w:rPr>
          <w:t xml:space="preserve">investintunisia.tn</w:t>
        </w:r>
      </w:hyperlink>
    </w:p>
  </w:footnote>
  <w:footnote w:id="8">
    <w:p>
      <w:r>
        <w:rPr>
          <w:rStyle w:val="FootnoteReference"/>
        </w:rPr>
        <w:footnoteRef/>
      </w:r>
      <w:r>
        <w:rPr>
          <w:rFonts w:ascii="Calibri" w:cs="Calibri" w:eastAsia="Calibri" w:hAnsi="Calibri"/>
          <w:sz w:val="18"/>
          <w:szCs w:val="18"/>
        </w:rPr>
        <w:t xml:space="preserve">CEPEX — Centre de Promotion des Exportations de la Tunisie. </w:t>
      </w:r>
      <w:hyperlink w:history="1" r:id="rIdmkwplfu_fpfhfbmj6ft7v">
        <w:r>
          <w:rPr>
            <w:rStyle w:val="Hyperlink"/>
            <w:rFonts w:ascii="Calibri" w:cs="Calibri" w:eastAsia="Calibri" w:hAnsi="Calibri"/>
            <w:sz w:val="18"/>
            <w:szCs w:val="18"/>
          </w:rPr>
          <w:t xml:space="preserve">tunisiaexport.tn</w:t>
        </w:r>
      </w:hyperlink>
    </w:p>
  </w:footnote>
  <w:footnote w:id="9">
    <w:p>
      <w:r>
        <w:rPr>
          <w:rStyle w:val="FootnoteReference"/>
        </w:rPr>
        <w:footnoteRef/>
      </w:r>
      <w:r>
        <w:rPr>
          <w:rFonts w:ascii="Calibri" w:cs="Calibri" w:eastAsia="Calibri" w:hAnsi="Calibri"/>
          <w:sz w:val="18"/>
          <w:szCs w:val="18"/>
        </w:rPr>
        <w:t xml:space="preserve">Tunisia Investment Authority (TIA) — Ministère de l'Économie et de la Planification. </w:t>
      </w:r>
      <w:hyperlink w:history="1" r:id="rIdzatg6x0xa5nqn4nijvyf_">
        <w:r>
          <w:rPr>
            <w:rStyle w:val="Hyperlink"/>
            <w:rFonts w:ascii="Calibri" w:cs="Calibri" w:eastAsia="Calibri" w:hAnsi="Calibri"/>
            <w:sz w:val="18"/>
            <w:szCs w:val="18"/>
          </w:rPr>
          <w:t xml:space="preserve">tia.gov.tn</w:t>
        </w:r>
      </w:hyperlink>
    </w:p>
  </w:footnote>
  <w:footnote w:id="10">
    <w:p>
      <w:r>
        <w:rPr>
          <w:rStyle w:val="FootnoteReference"/>
        </w:rPr>
        <w:footnoteRef/>
      </w:r>
      <w:r>
        <w:rPr>
          <w:rFonts w:ascii="Calibri" w:cs="Calibri" w:eastAsia="Calibri" w:hAnsi="Calibri"/>
          <w:sz w:val="18"/>
          <w:szCs w:val="18"/>
        </w:rPr>
        <w:t xml:space="preserve">Centre National du Registre des Entreprises (RNE). </w:t>
      </w:r>
      <w:hyperlink w:history="1" r:id="rIdb1ahssmlqmxepwex186gx">
        <w:r>
          <w:rPr>
            <w:rStyle w:val="Hyperlink"/>
            <w:rFonts w:ascii="Calibri" w:cs="Calibri" w:eastAsia="Calibri" w:hAnsi="Calibri"/>
            <w:sz w:val="18"/>
            <w:szCs w:val="18"/>
          </w:rPr>
          <w:t xml:space="preserve">registre-entreprises.tn</w:t>
        </w:r>
      </w:hyperlink>
    </w:p>
  </w:footnote>
  <w:footnote w:id="11">
    <w:p>
      <w:r>
        <w:rPr>
          <w:rStyle w:val="FootnoteReference"/>
        </w:rPr>
        <w:footnoteRef/>
      </w:r>
      <w:r>
        <w:rPr>
          <w:rFonts w:ascii="Calibri" w:cs="Calibri" w:eastAsia="Calibri" w:hAnsi="Calibri"/>
          <w:sz w:val="18"/>
          <w:szCs w:val="18"/>
        </w:rPr>
        <w:t xml:space="preserve">INNORPI — La protection par brevet d'invention. </w:t>
      </w:r>
      <w:hyperlink w:history="1" r:id="rIdy_dfx3g3-mdulfnxh72_w">
        <w:r>
          <w:rPr>
            <w:rStyle w:val="Hyperlink"/>
            <w:rFonts w:ascii="Calibri" w:cs="Calibri" w:eastAsia="Calibri" w:hAnsi="Calibri"/>
            <w:sz w:val="18"/>
            <w:szCs w:val="18"/>
          </w:rPr>
          <w:t xml:space="preserve">innorpi.tn</w:t>
        </w:r>
      </w:hyperlink>
    </w:p>
  </w:footnote>
  <w:footnote w:id="12">
    <w:p>
      <w:r>
        <w:rPr>
          <w:rStyle w:val="FootnoteReference"/>
        </w:rPr>
        <w:footnoteRef/>
      </w:r>
      <w:r>
        <w:rPr>
          <w:rFonts w:ascii="Calibri" w:cs="Calibri" w:eastAsia="Calibri" w:hAnsi="Calibri"/>
          <w:sz w:val="18"/>
          <w:szCs w:val="18"/>
        </w:rPr>
        <w:t xml:space="preserve">Office National de l'Artisanat (ONA). </w:t>
      </w:r>
      <w:hyperlink w:history="1" r:id="rIdt37rg3ks-xe91cxyn46jk">
        <w:r>
          <w:rPr>
            <w:rStyle w:val="Hyperlink"/>
            <w:rFonts w:ascii="Calibri" w:cs="Calibri" w:eastAsia="Calibri" w:hAnsi="Calibri"/>
            <w:sz w:val="18"/>
            <w:szCs w:val="18"/>
          </w:rPr>
          <w:t xml:space="preserve">artisanat.nat.tn</w:t>
        </w:r>
      </w:hyperlink>
    </w:p>
  </w:footnote>
  <w:footnote w:id="13">
    <w:p>
      <w:r>
        <w:rPr>
          <w:rStyle w:val="FootnoteReference"/>
        </w:rPr>
        <w:footnoteRef/>
      </w:r>
      <w:r>
        <w:rPr>
          <w:rFonts w:ascii="Calibri" w:cs="Calibri" w:eastAsia="Calibri" w:hAnsi="Calibri"/>
          <w:sz w:val="18"/>
          <w:szCs w:val="18"/>
        </w:rPr>
        <w:t xml:space="preserve">Jurisite Tunisie — Code des Droits et Procédures Fiscaux, art. 37 (vérification préliminaire). </w:t>
      </w:r>
      <w:hyperlink w:history="1" r:id="rIdnv7zc17-m3bijoinamgut">
        <w:r>
          <w:rPr>
            <w:rStyle w:val="Hyperlink"/>
            <w:rFonts w:ascii="Calibri" w:cs="Calibri" w:eastAsia="Calibri" w:hAnsi="Calibri"/>
            <w:sz w:val="18"/>
            <w:szCs w:val="18"/>
          </w:rPr>
          <w:t xml:space="preserve">jurisitetunisie.com — CDPF</w:t>
        </w:r>
      </w:hyperlink>
    </w:p>
  </w:footnote>
  <w:footnote w:id="14">
    <w:p>
      <w:r>
        <w:rPr>
          <w:rStyle w:val="FootnoteReference"/>
        </w:rPr>
        <w:footnoteRef/>
      </w:r>
      <w:r>
        <w:rPr>
          <w:rFonts w:ascii="Calibri" w:cs="Calibri" w:eastAsia="Calibri" w:hAnsi="Calibri"/>
          <w:sz w:val="18"/>
          <w:szCs w:val="18"/>
        </w:rPr>
        <w:t xml:space="preserve">Jurisite Tunisie — Code des Droits et Procédures Fiscaux, chap. III, Taxation d'office. </w:t>
      </w:r>
      <w:hyperlink w:history="1" r:id="rIdpekdw2a9lqwkx7uascmgy">
        <w:r>
          <w:rPr>
            <w:rStyle w:val="Hyperlink"/>
            <w:rFonts w:ascii="Calibri" w:cs="Calibri" w:eastAsia="Calibri" w:hAnsi="Calibri"/>
            <w:sz w:val="18"/>
            <w:szCs w:val="18"/>
          </w:rPr>
          <w:t xml:space="preserve">jurisitetunisie.com — Taxation d'office</w:t>
        </w:r>
      </w:hyperlink>
    </w:p>
  </w:footnote>
  <w:footnote w:id="15">
    <w:p>
      <w:r>
        <w:rPr>
          <w:rStyle w:val="FootnoteReference"/>
        </w:rPr>
        <w:footnoteRef/>
      </w:r>
      <w:r>
        <w:rPr>
          <w:rFonts w:ascii="Calibri" w:cs="Calibri" w:eastAsia="Calibri" w:hAnsi="Calibri"/>
          <w:sz w:val="18"/>
          <w:szCs w:val="18"/>
        </w:rPr>
        <w:t xml:space="preserve">Ministère des Finances — Procédures d'opposition à l'arrêté de taxation d'office. </w:t>
      </w:r>
      <w:hyperlink w:history="1" r:id="rIdrvwif90p03htvoxhcotj-">
        <w:r>
          <w:rPr>
            <w:rStyle w:val="Hyperlink"/>
            <w:rFonts w:ascii="Calibri" w:cs="Calibri" w:eastAsia="Calibri" w:hAnsi="Calibri"/>
            <w:sz w:val="18"/>
            <w:szCs w:val="18"/>
          </w:rPr>
          <w:t xml:space="preserve">finances.gov.tn</w:t>
        </w:r>
      </w:hyperlink>
    </w:p>
  </w:footnote>
  <w:footnote w:id="16">
    <w:p>
      <w:r>
        <w:rPr>
          <w:rStyle w:val="FootnoteReference"/>
        </w:rPr>
        <w:footnoteRef/>
      </w:r>
      <w:r>
        <w:rPr>
          <w:rFonts w:ascii="Calibri" w:cs="Calibri" w:eastAsia="Calibri" w:hAnsi="Calibri"/>
          <w:sz w:val="18"/>
          <w:szCs w:val="18"/>
        </w:rPr>
        <w:t xml:space="preserve">CNSS — Affiliation des employeurs aux régimes de sécurité sociale. </w:t>
      </w:r>
      <w:hyperlink w:history="1" r:id="rIdp6bq1zhr-gfwvmehlpsw0">
        <w:r>
          <w:rPr>
            <w:rStyle w:val="Hyperlink"/>
            <w:rFonts w:ascii="Calibri" w:cs="Calibri" w:eastAsia="Calibri" w:hAnsi="Calibri"/>
            <w:sz w:val="18"/>
            <w:szCs w:val="18"/>
          </w:rPr>
          <w:t xml:space="preserve">cnss.tn</w:t>
        </w:r>
      </w:hyperlink>
    </w:p>
  </w:footnote>
  <w:footnote w:id="17">
    <w:p>
      <w:r>
        <w:rPr>
          <w:rStyle w:val="FootnoteReference"/>
        </w:rPr>
        <w:footnoteRef/>
      </w:r>
      <w:r>
        <w:rPr>
          <w:rFonts w:ascii="Calibri" w:cs="Calibri" w:eastAsia="Calibri" w:hAnsi="Calibri"/>
          <w:sz w:val="18"/>
          <w:szCs w:val="18"/>
        </w:rPr>
        <w:t xml:space="preserve">ANETI — Contrat d'Initiation à la Vie Professionnelle (CIVP). </w:t>
      </w:r>
      <w:hyperlink w:history="1" r:id="rIdatpdqw6vtvlwl-ptijv2k">
        <w:r>
          <w:rPr>
            <w:rStyle w:val="Hyperlink"/>
            <w:rFonts w:ascii="Calibri" w:cs="Calibri" w:eastAsia="Calibri" w:hAnsi="Calibri"/>
            <w:sz w:val="18"/>
            <w:szCs w:val="18"/>
          </w:rPr>
          <w:t xml:space="preserve">emploi.nat.tn</w:t>
        </w:r>
      </w:hyperlink>
    </w:p>
  </w:footnote>
  <w:footnote w:id="18">
    <w:p>
      <w:r>
        <w:rPr>
          <w:rStyle w:val="FootnoteReference"/>
        </w:rPr>
        <w:footnoteRef/>
      </w:r>
      <w:r>
        <w:rPr>
          <w:rFonts w:ascii="Calibri" w:cs="Calibri" w:eastAsia="Calibri" w:hAnsi="Calibri"/>
          <w:sz w:val="18"/>
          <w:szCs w:val="18"/>
        </w:rPr>
        <w:t xml:space="preserve">Jurisite Tunisie — Code du Travail, L'Inspection du Travail. </w:t>
      </w:r>
      <w:hyperlink w:history="1" r:id="rIdgcmepgx8xq0ti0lef3ji1">
        <w:r>
          <w:rPr>
            <w:rStyle w:val="Hyperlink"/>
            <w:rFonts w:ascii="Calibri" w:cs="Calibri" w:eastAsia="Calibri" w:hAnsi="Calibri"/>
            <w:sz w:val="18"/>
            <w:szCs w:val="18"/>
          </w:rPr>
          <w:t xml:space="preserve">jurisitetunisie.com — Inspection</w:t>
        </w:r>
      </w:hyperlink>
    </w:p>
  </w:footnote>
  <w:footnote w:id="19">
    <w:p>
      <w:r>
        <w:rPr>
          <w:rStyle w:val="FootnoteReference"/>
        </w:rPr>
        <w:footnoteRef/>
      </w:r>
      <w:r>
        <w:rPr>
          <w:rFonts w:ascii="Calibri" w:cs="Calibri" w:eastAsia="Calibri" w:hAnsi="Calibri"/>
          <w:sz w:val="18"/>
          <w:szCs w:val="18"/>
        </w:rPr>
        <w:t xml:space="preserve">Tunisie Entreprise — Capital Minimum SARL Tunisie (1 000 Dinars). </w:t>
      </w:r>
      <w:hyperlink w:history="1" r:id="rIdw224mabfo3aeia1ovrjwl">
        <w:r>
          <w:rPr>
            <w:rStyle w:val="Hyperlink"/>
            <w:rFonts w:ascii="Calibri" w:cs="Calibri" w:eastAsia="Calibri" w:hAnsi="Calibri"/>
            <w:sz w:val="18"/>
            <w:szCs w:val="18"/>
          </w:rPr>
          <w:t xml:space="preserve">tunisie-entreprise.com</w:t>
        </w:r>
      </w:hyperlink>
    </w:p>
  </w:footnote>
  <w:footnote w:id="20">
    <w:p>
      <w:r>
        <w:rPr>
          <w:rStyle w:val="FootnoteReference"/>
        </w:rPr>
        <w:footnoteRef/>
      </w:r>
      <w:r>
        <w:rPr>
          <w:rFonts w:ascii="Calibri" w:cs="Calibri" w:eastAsia="Calibri" w:hAnsi="Calibri"/>
          <w:sz w:val="18"/>
          <w:szCs w:val="18"/>
        </w:rPr>
        <w:t xml:space="preserve">Kawanin — Création d'une SUARL en Tunisie. </w:t>
      </w:r>
      <w:hyperlink w:history="1" r:id="rIdfp0u6w3izuio9wm5-ewqf">
        <w:r>
          <w:rPr>
            <w:rStyle w:val="Hyperlink"/>
            <w:rFonts w:ascii="Calibri" w:cs="Calibri" w:eastAsia="Calibri" w:hAnsi="Calibri"/>
            <w:sz w:val="18"/>
            <w:szCs w:val="18"/>
          </w:rPr>
          <w:t xml:space="preserve">kawanin.com</w:t>
        </w:r>
      </w:hyperlink>
    </w:p>
  </w:footnote>
  <w:footnote w:id="21">
    <w:p>
      <w:r>
        <w:rPr>
          <w:rStyle w:val="FootnoteReference"/>
        </w:rPr>
        <w:footnoteRef/>
      </w:r>
      <w:r>
        <w:rPr>
          <w:rFonts w:ascii="Calibri" w:cs="Calibri" w:eastAsia="Calibri" w:hAnsi="Calibri"/>
          <w:sz w:val="18"/>
          <w:szCs w:val="18"/>
        </w:rPr>
        <w:t xml:space="preserve">Business News — Loi de Finances 2026 : régime forfaitaire et amnistie fiscale (16/12/2025). </w:t>
      </w:r>
      <w:hyperlink w:history="1" r:id="rIdljh02arxjluapablyhmec">
        <w:r>
          <w:rPr>
            <w:rStyle w:val="Hyperlink"/>
            <w:rFonts w:ascii="Calibri" w:cs="Calibri" w:eastAsia="Calibri" w:hAnsi="Calibri"/>
            <w:sz w:val="18"/>
            <w:szCs w:val="18"/>
          </w:rPr>
          <w:t xml:space="preserve">businessnews.com.tn</w:t>
        </w:r>
      </w:hyperlink>
    </w:p>
  </w:footnote>
  <w:footnote w:id="22">
    <w:p>
      <w:r>
        <w:rPr>
          <w:rStyle w:val="FootnoteReference"/>
        </w:rPr>
        <w:footnoteRef/>
      </w:r>
      <w:r>
        <w:rPr>
          <w:rFonts w:ascii="Calibri" w:cs="Calibri" w:eastAsia="Calibri" w:hAnsi="Calibri"/>
          <w:sz w:val="18"/>
          <w:szCs w:val="18"/>
        </w:rPr>
        <w:t xml:space="preserve">Paie-Tunisie — Statut de l'Auto-Entrepreneur en Tunisie (ordonnance n°33 du 10/06/2020). </w:t>
      </w:r>
      <w:hyperlink w:history="1" r:id="rIdgflsyp57dm5hix1jav7lb">
        <w:r>
          <w:rPr>
            <w:rStyle w:val="Hyperlink"/>
            <w:rFonts w:ascii="Calibri" w:cs="Calibri" w:eastAsia="Calibri" w:hAnsi="Calibri"/>
            <w:sz w:val="18"/>
            <w:szCs w:val="18"/>
          </w:rPr>
          <w:t xml:space="preserve">paie-tunisie.com</w:t>
        </w:r>
      </w:hyperlink>
    </w:p>
  </w:footnote>
  <w:footnote w:id="23">
    <w:p>
      <w:r>
        <w:rPr>
          <w:rStyle w:val="FootnoteReference"/>
        </w:rPr>
        <w:footnoteRef/>
      </w:r>
      <w:r>
        <w:rPr>
          <w:rFonts w:ascii="Calibri" w:cs="Calibri" w:eastAsia="Calibri" w:hAnsi="Calibri"/>
          <w:sz w:val="18"/>
          <w:szCs w:val="18"/>
        </w:rPr>
        <w:t xml:space="preserve">Swiver — Barème IRPP 2025 : tranches officielles. </w:t>
      </w:r>
      <w:hyperlink w:history="1" r:id="rIdeup2wy_sze5f-ts8lydt9">
        <w:r>
          <w:rPr>
            <w:rStyle w:val="Hyperlink"/>
            <w:rFonts w:ascii="Calibri" w:cs="Calibri" w:eastAsia="Calibri" w:hAnsi="Calibri"/>
            <w:sz w:val="18"/>
            <w:szCs w:val="18"/>
          </w:rPr>
          <w:t xml:space="preserve">swiver.io</w:t>
        </w:r>
      </w:hyperlink>
    </w:p>
  </w:footnote>
  <w:footnote w:id="24">
    <w:p>
      <w:r>
        <w:rPr>
          <w:rStyle w:val="FootnoteReference"/>
        </w:rPr>
        <w:footnoteRef/>
      </w:r>
      <w:r>
        <w:rPr>
          <w:rFonts w:ascii="Calibri" w:cs="Calibri" w:eastAsia="Calibri" w:hAnsi="Calibri"/>
          <w:sz w:val="18"/>
          <w:szCs w:val="18"/>
        </w:rPr>
        <w:t xml:space="preserve">Paie-Tunisie — Barème d'imposition du revenu en Tunisie à partir de 2025. </w:t>
      </w:r>
      <w:hyperlink w:history="1" r:id="rIdbuerlb5eo_66td6zsisrw">
        <w:r>
          <w:rPr>
            <w:rStyle w:val="Hyperlink"/>
            <w:rFonts w:ascii="Calibri" w:cs="Calibri" w:eastAsia="Calibri" w:hAnsi="Calibri"/>
            <w:sz w:val="18"/>
            <w:szCs w:val="18"/>
          </w:rPr>
          <w:t xml:space="preserve">paie-tunisie.com — Barème 2025</w:t>
        </w:r>
      </w:hyperlink>
    </w:p>
  </w:footnote>
  <w:footnote w:id="25">
    <w:p>
      <w:r>
        <w:rPr>
          <w:rStyle w:val="FootnoteReference"/>
        </w:rPr>
        <w:footnoteRef/>
      </w:r>
      <w:r>
        <w:rPr>
          <w:rFonts w:ascii="Calibri" w:cs="Calibri" w:eastAsia="Calibri" w:hAnsi="Calibri"/>
          <w:sz w:val="18"/>
          <w:szCs w:val="18"/>
        </w:rPr>
        <w:t xml:space="preserve">La Presse — Contribution sociale de solidarité : modalités confirmées 2026 (14/01/2026). </w:t>
      </w:r>
      <w:hyperlink w:history="1" r:id="rId8rcrx0asgga1w8xx7xak8">
        <w:r>
          <w:rPr>
            <w:rStyle w:val="Hyperlink"/>
            <w:rFonts w:ascii="Calibri" w:cs="Calibri" w:eastAsia="Calibri" w:hAnsi="Calibri"/>
            <w:sz w:val="18"/>
            <w:szCs w:val="18"/>
          </w:rPr>
          <w:t xml:space="preserve">lapresse.tn</w:t>
        </w:r>
      </w:hyperlink>
    </w:p>
  </w:footnote>
  <w:footnote w:id="26">
    <w:p>
      <w:r>
        <w:rPr>
          <w:rStyle w:val="FootnoteReference"/>
        </w:rPr>
        <w:footnoteRef/>
      </w:r>
      <w:r>
        <w:rPr>
          <w:rFonts w:ascii="Calibri" w:cs="Calibri" w:eastAsia="Calibri" w:hAnsi="Calibri"/>
          <w:sz w:val="18"/>
          <w:szCs w:val="18"/>
        </w:rPr>
        <w:t xml:space="preserve">United Advisers — Loi de Finances 2025, nouveaux taux d'IS (art. 33). </w:t>
      </w:r>
      <w:hyperlink w:history="1" r:id="rIdk1tl2nzgcu1curslvrbjx">
        <w:r>
          <w:rPr>
            <w:rStyle w:val="Hyperlink"/>
            <w:rFonts w:ascii="Calibri" w:cs="Calibri" w:eastAsia="Calibri" w:hAnsi="Calibri"/>
            <w:sz w:val="18"/>
            <w:szCs w:val="18"/>
          </w:rPr>
          <w:t xml:space="preserve">ua.tn</w:t>
        </w:r>
      </w:hyperlink>
    </w:p>
  </w:footnote>
  <w:footnote w:id="27">
    <w:p>
      <w:r>
        <w:rPr>
          <w:rStyle w:val="FootnoteReference"/>
        </w:rPr>
        <w:footnoteRef/>
      </w:r>
      <w:r>
        <w:rPr>
          <w:rFonts w:ascii="Calibri" w:cs="Calibri" w:eastAsia="Calibri" w:hAnsi="Calibri"/>
          <w:sz w:val="18"/>
          <w:szCs w:val="18"/>
        </w:rPr>
        <w:t xml:space="preserve">Synergie-AC — Principales Mesures Loi de Finances 2025. </w:t>
      </w:r>
      <w:hyperlink w:history="1" r:id="rIdqymussax34ktnpiouvz91">
        <w:r>
          <w:rPr>
            <w:rStyle w:val="Hyperlink"/>
            <w:rFonts w:ascii="Calibri" w:cs="Calibri" w:eastAsia="Calibri" w:hAnsi="Calibri"/>
            <w:sz w:val="18"/>
            <w:szCs w:val="18"/>
          </w:rPr>
          <w:t xml:space="preserve">synergie-ac.com</w:t>
        </w:r>
      </w:hyperlink>
    </w:p>
  </w:footnote>
  <w:footnote w:id="28">
    <w:p>
      <w:r>
        <w:rPr>
          <w:rStyle w:val="FootnoteReference"/>
        </w:rPr>
        <w:footnoteRef/>
      </w:r>
      <w:r>
        <w:rPr>
          <w:rFonts w:ascii="Calibri" w:cs="Calibri" w:eastAsia="Calibri" w:hAnsi="Calibri"/>
          <w:sz w:val="18"/>
          <w:szCs w:val="18"/>
        </w:rPr>
        <w:t xml:space="preserve">Trading Economics — Taux d'imposition des sociétés en Tunisie. </w:t>
      </w:r>
      <w:hyperlink w:history="1" r:id="rIdb_k6vtli0tcsswftt8xtx">
        <w:r>
          <w:rPr>
            <w:rStyle w:val="Hyperlink"/>
            <w:rFonts w:ascii="Calibri" w:cs="Calibri" w:eastAsia="Calibri" w:hAnsi="Calibri"/>
            <w:sz w:val="18"/>
            <w:szCs w:val="18"/>
          </w:rPr>
          <w:t xml:space="preserve">tradingeconomics.com</w:t>
        </w:r>
      </w:hyperlink>
    </w:p>
  </w:footnote>
  <w:footnote w:id="29">
    <w:p>
      <w:r>
        <w:rPr>
          <w:rStyle w:val="FootnoteReference"/>
        </w:rPr>
        <w:footnoteRef/>
      </w:r>
      <w:r>
        <w:rPr>
          <w:rFonts w:ascii="Calibri" w:cs="Calibri" w:eastAsia="Calibri" w:hAnsi="Calibri"/>
          <w:sz w:val="18"/>
          <w:szCs w:val="18"/>
        </w:rPr>
        <w:t xml:space="preserve">IRBE7 — Loi de finances 2026, propositions IACE pour l'industrie (22/11/2025). </w:t>
      </w:r>
      <w:hyperlink w:history="1" r:id="rId1juwros2ylggfiolc7rpu">
        <w:r>
          <w:rPr>
            <w:rStyle w:val="Hyperlink"/>
            <w:rFonts w:ascii="Calibri" w:cs="Calibri" w:eastAsia="Calibri" w:hAnsi="Calibri"/>
            <w:sz w:val="18"/>
            <w:szCs w:val="18"/>
          </w:rPr>
          <w:t xml:space="preserve">irbe7.com</w:t>
        </w:r>
      </w:hyperlink>
    </w:p>
  </w:footnote>
  <w:footnote w:id="30">
    <w:p>
      <w:r>
        <w:rPr>
          <w:rStyle w:val="FootnoteReference"/>
        </w:rPr>
        <w:footnoteRef/>
      </w:r>
      <w:r>
        <w:rPr>
          <w:rFonts w:ascii="Calibri" w:cs="Calibri" w:eastAsia="Calibri" w:hAnsi="Calibri"/>
          <w:sz w:val="18"/>
          <w:szCs w:val="18"/>
        </w:rPr>
        <w:t xml:space="preserve">APII — Fiche Développement Régional, incitations fiscales. </w:t>
      </w:r>
      <w:hyperlink w:history="1" r:id="rIdcxwpsnxwpk8atoachqrlm">
        <w:r>
          <w:rPr>
            <w:rStyle w:val="Hyperlink"/>
            <w:rFonts w:ascii="Calibri" w:cs="Calibri" w:eastAsia="Calibri" w:hAnsi="Calibri"/>
            <w:sz w:val="18"/>
            <w:szCs w:val="18"/>
          </w:rPr>
          <w:t xml:space="preserve">tunisieindustrie.nat.tn — Dév. Régional</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i/>
        <w:iCs/>
        <w:color w:val="888888"/>
        <w:sz w:val="16"/>
        <w:szCs w:val="16"/>
      </w:rPr>
      <w:t xml:space="preserve">Livre blanc — L'Environnement de l'entreprise en Tunisie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Calibri" w:cs="Calibri" w:eastAsia="Calibri" w:hAnsi="Calibri"/>
      <w:b/>
      <w:bCs/>
      <w:color w:val="1F3A68"/>
      <w:sz w:val="36"/>
      <w:szCs w:val="36"/>
    </w:rPr>
  </w:style>
  <w:style w:type="paragraph" w:styleId="Heading2">
    <w:name w:val="Heading 2"/>
    <w:basedOn w:val="Normal"/>
    <w:next w:val="Normal"/>
    <w:qFormat/>
    <w:pPr>
      <w:spacing w:after="140" w:before="280"/>
      <w:outlineLvl w:val="1"/>
    </w:pPr>
    <w:rPr>
      <w:rFonts w:ascii="Calibri" w:cs="Calibri" w:eastAsia="Calibri" w:hAnsi="Calibri"/>
      <w:b/>
      <w:bCs/>
      <w:color w:val="1F3A68"/>
      <w:sz w:val="28"/>
      <w:szCs w:val="28"/>
    </w:rPr>
  </w:style>
  <w:style w:type="paragraph" w:styleId="Heading3">
    <w:name w:val="Heading 3"/>
    <w:basedOn w:val="Normal"/>
    <w:next w:val="Normal"/>
    <w:qFormat/>
    <w:pPr>
      <w:spacing w:after="100" w:before="220"/>
      <w:outlineLvl w:val="2"/>
    </w:pPr>
    <w:rPr>
      <w:rFonts w:ascii="Calibri" w:cs="Calibri" w:eastAsia="Calibri" w:hAnsi="Calibri"/>
      <w:b/>
      <w:bCs/>
      <w:color w:val="C0392B"/>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ovlwohniayxmtnqdfxpzs" Type="http://schemas.openxmlformats.org/officeDocument/2006/relationships/hyperlink" Target="https://www.finances.gov.tn/sites/default/files/reglementaire_fr/Loi2017_8.pdf" TargetMode="External"/><Relationship Id="rIda_b-ourigp7lxgz85naeo" Type="http://schemas.openxmlformats.org/officeDocument/2006/relationships/hyperlink" Target="https://www.jurisitetunisie.com/tunisie/codes/cdpf/cdpf1040.htm" TargetMode="External"/><Relationship Id="rIdp1z9vzdyk1ge-qekemjit" Type="http://schemas.openxmlformats.org/officeDocument/2006/relationships/hyperlink" Target="https://www.jurisitetunisie.com/tunisie/codes/cdpf/cdpf1055.htm" TargetMode="External"/><Relationship Id="rIddc0giv3yj3twq234yt8_0" Type="http://schemas.openxmlformats.org/officeDocument/2006/relationships/hyperlink" Target="https://www.finances.gov.tn/fr/node/919" TargetMode="External"/><Relationship Id="rIduxtfnfd5pr2h3ze_6hqdj" Type="http://schemas.openxmlformats.org/officeDocument/2006/relationships/hyperlink" Target="https://www.jurisitetunisie.com/tunisie/codes/ct/Ct1150.htm" TargetMode="External"/><Relationship Id="rId5md8rl-ioyfuwgaohz_di" Type="http://schemas.openxmlformats.org/officeDocument/2006/relationships/hyperlink" Target="https://paie-tunisie.com/412/fr/207/publications/statut-de-l-auto-entrepreneur-en-tunisie" TargetMode="External"/><Relationship Id="rIdqjg86ua10n4ifgiospqdm" Type="http://schemas.openxmlformats.org/officeDocument/2006/relationships/hyperlink" Target="https://fr.wikipedia.org/wiki/Agence_de_promotion_de_l%27industrie_et_de_l%27innovation" TargetMode="External"/><Relationship Id="rIdv8uej_nstesnd4eostbb7" Type="http://schemas.openxmlformats.org/officeDocument/2006/relationships/hyperlink" Target="https://www.tunisieindustrie.nat.tn/fr/Entcreation.asp" TargetMode="External"/><Relationship Id="rIdbtctfsi6_8-zcsewe-0_8" Type="http://schemas.openxmlformats.org/officeDocument/2006/relationships/hyperlink" Target="https://formalites.industrie.gov.tn/fiche-attestation-dentree-en-production-161.html" TargetMode="External"/><Relationship Id="rIdpxwsfmdeyvsnuy7td5fth" Type="http://schemas.openxmlformats.org/officeDocument/2006/relationships/hyperlink" Target="https://www.apia.com.tn" TargetMode="External"/><Relationship Id="rId7b5mw9r6v3icyp015blqb" Type="http://schemas.openxmlformats.org/officeDocument/2006/relationships/hyperlink" Target="https://www.greenclimate.fund/ae/apia" TargetMode="External"/><Relationship Id="rIdai4cu6ddmpkn8m3y8xvwp" Type="http://schemas.openxmlformats.org/officeDocument/2006/relationships/hyperlink" Target="https://investintunisia.tn" TargetMode="External"/><Relationship Id="rIdvh9omvddbuvhatrxambaa" Type="http://schemas.openxmlformats.org/officeDocument/2006/relationships/hyperlink" Target="https://tunisiaexport.tn/en/tunisia-export" TargetMode="External"/><Relationship Id="rId9htbbj3n_xons_bv-kil9" Type="http://schemas.openxmlformats.org/officeDocument/2006/relationships/hyperlink" Target="https://www.tia.gov.tn" TargetMode="External"/><Relationship Id="rIdco3u9xglruxug4nmyuyas" Type="http://schemas.openxmlformats.org/officeDocument/2006/relationships/hyperlink" Target="https://www.registre-entreprises.tn/rne-public/" TargetMode="External"/><Relationship Id="rIdl4j3dzsjadbp438fjprpl" Type="http://schemas.openxmlformats.org/officeDocument/2006/relationships/hyperlink" Target="https://www.innorpi.tn/fr/la-protection-par-brevet-dinvention" TargetMode="External"/><Relationship Id="rId8zabuyyeuxy-c4hkh5hcd" Type="http://schemas.openxmlformats.org/officeDocument/2006/relationships/hyperlink" Target="https://www.artisanat.nat.tn" TargetMode="External"/><Relationship Id="rIdenkzykeouxnikomyfwnwt" Type="http://schemas.openxmlformats.org/officeDocument/2006/relationships/hyperlink" Target="https://www.cnss.tn/en/web/employeur/emp_asset_services/-/asset_publisher/sYQ8/content/emp_secteure_-non_agr3_affiliation" TargetMode="External"/><Relationship Id="rIdoe4af4flwn2sjpnbrjseg" Type="http://schemas.openxmlformats.org/officeDocument/2006/relationships/hyperlink" Target="https://www.emploi.nat.tn/fo/Fr/global.php?menu1=75&amp;libre=1132" TargetMode="External"/><Relationship Id="rIdxr14pgme5hfgzhoxsfsyb" Type="http://schemas.openxmlformats.org/officeDocument/2006/relationships/hyperlink" Target="https://www.tunisieindustrie.nat.tn/fr/download/cfga/fiches/7.pdf" TargetMode="External"/><Relationship Id="rIdvyffzfaccmfiwkhhh1j36" Type="http://schemas.openxmlformats.org/officeDocument/2006/relationships/hyperlink" Target="https://www.tunisie-entreprise.com/info-sarl/capital-minimum-sarl-tunisie" TargetMode="External"/><Relationship Id="rIdfurt7vrhh6iwxoory3u8i" Type="http://schemas.openxmlformats.org/officeDocument/2006/relationships/hyperlink" Target="https://www.kawanin.com/suarl-votre-cle-pour-reussir-votre-aventure-entrepreneuriale-en-tunisie/" TargetMode="External"/><Relationship Id="rIdxf0gg03lj751b1hguehtm" Type="http://schemas.openxmlformats.org/officeDocument/2006/relationships/hyperlink" Target="https://businessnews.com.tn/2025/12/16/lf-2026-fiscalite-du-patrimoine-regime-forfaitaire-et-amnistie-fiscale-les-eclairages-de-bounenni/1378770/" TargetMode="External"/><Relationship Id="rIdubgficcj3nwwqod6xumyk" Type="http://schemas.openxmlformats.org/officeDocument/2006/relationships/hyperlink" Target="https://swiver.io/blog/bareme-impot-2025/" TargetMode="External"/><Relationship Id="rIdmi6mosiid6sgcijwzcbi5" Type="http://schemas.openxmlformats.org/officeDocument/2006/relationships/hyperlink" Target="https://paie-tunisie.com/412/fr/232/publications/bareme-d-imposition-du-revenu-en-tunisie-a-partir-de-2025" TargetMode="External"/><Relationship Id="rIdkmy32b4fjecipynem7xak" Type="http://schemas.openxmlformats.org/officeDocument/2006/relationships/hyperlink" Target="https://www.lapresse.tn/2026/01/14/contribution-sociale-de-solidarite-nouvelles-modalites-confirmees-pour-lannee-2026/" TargetMode="External"/><Relationship Id="rId9tdl6d433jdgfgngjx-9_" Type="http://schemas.openxmlformats.org/officeDocument/2006/relationships/hyperlink" Target="https://ua.tn/loi-de-finances-2025-nouveau-taux-dis/" TargetMode="External"/><Relationship Id="rIdxg-xwxfgk8pd_txabnkk6" Type="http://schemas.openxmlformats.org/officeDocument/2006/relationships/hyperlink" Target="https://synergie-ac.com/principales-mesures-loi-de-finances-2025/" TargetMode="External"/><Relationship Id="rIddeeeym6rogfaftpgjbtey" Type="http://schemas.openxmlformats.org/officeDocument/2006/relationships/hyperlink" Target="https://fr.tradingeconomics.com/tunisia/corporate-tax-rate" TargetMode="External"/><Relationship Id="rIdbxfyrhtnwypjjcyi-y5iy" Type="http://schemas.openxmlformats.org/officeDocument/2006/relationships/hyperlink" Target="https://irbe7.com/actualites/articles/loi-de-finances-2026-liace-propose-une-reforme-fiscale-avec-un-is-a-15-pour-lindustrie/6921cee9b41beb7e40bbb1ca" TargetMode="External"/><Relationship Id="rId3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Relationship Id="rId_qotkvn4fsx7sc6zeafgi" Type="http://schemas.openxmlformats.org/officeDocument/2006/relationships/hyperlink" Target="https://fr.wikipedia.org/wiki/Agence_de_promotion_de_l%27industrie_et_de_l%27innovation" TargetMode="External"/><Relationship Id="rIdbwmhsu1aobk84ojlj5jws" Type="http://schemas.openxmlformats.org/officeDocument/2006/relationships/hyperlink" Target="https://www.tunisieindustrie.nat.tn/fr/Entcreation.asp" TargetMode="External"/><Relationship Id="rIdb2o-vi_8wbthjzurerr2k" Type="http://schemas.openxmlformats.org/officeDocument/2006/relationships/hyperlink" Target="https://www.finances.gov.tn/sites/default/files/reglementaire_fr/Loi2017_8.pdf" TargetMode="External"/><Relationship Id="rIdk9wyk0hl6crotzapvpotk" Type="http://schemas.openxmlformats.org/officeDocument/2006/relationships/hyperlink" Target="https://formalites.industrie.gov.tn/fiche-attestation-dentree-en-production-161.html" TargetMode="External"/><Relationship Id="rIdpe5pdzu5pz8hq-h1x4fxe" Type="http://schemas.openxmlformats.org/officeDocument/2006/relationships/hyperlink" Target="https://www.apia.com.tn" TargetMode="External"/><Relationship Id="rIdkc9oqtd3lnikfw2oazxpi" Type="http://schemas.openxmlformats.org/officeDocument/2006/relationships/hyperlink" Target="https://www.greenclimate.fund/ae/apia" TargetMode="External"/><Relationship Id="rIdmtu_j4focynkxbvk0fyef" Type="http://schemas.openxmlformats.org/officeDocument/2006/relationships/hyperlink" Target="https://investintunisia.tn" TargetMode="External"/><Relationship Id="rIdmkwplfu_fpfhfbmj6ft7v" Type="http://schemas.openxmlformats.org/officeDocument/2006/relationships/hyperlink" Target="https://tunisiaexport.tn/en/tunisia-export" TargetMode="External"/><Relationship Id="rIdzatg6x0xa5nqn4nijvyf_" Type="http://schemas.openxmlformats.org/officeDocument/2006/relationships/hyperlink" Target="https://www.tia.gov.tn" TargetMode="External"/><Relationship Id="rIdb1ahssmlqmxepwex186gx" Type="http://schemas.openxmlformats.org/officeDocument/2006/relationships/hyperlink" Target="https://www.registre-entreprises.tn/rne-public/" TargetMode="External"/><Relationship Id="rIdy_dfx3g3-mdulfnxh72_w" Type="http://schemas.openxmlformats.org/officeDocument/2006/relationships/hyperlink" Target="https://www.innorpi.tn/fr/la-protection-par-brevet-dinvention" TargetMode="External"/><Relationship Id="rIdt37rg3ks-xe91cxyn46jk" Type="http://schemas.openxmlformats.org/officeDocument/2006/relationships/hyperlink" Target="https://www.artisanat.nat.tn" TargetMode="External"/><Relationship Id="rIdnv7zc17-m3bijoinamgut" Type="http://schemas.openxmlformats.org/officeDocument/2006/relationships/hyperlink" Target="https://www.jurisitetunisie.com/tunisie/codes/cdpf/cdpf1040.htm" TargetMode="External"/><Relationship Id="rIdpekdw2a9lqwkx7uascmgy" Type="http://schemas.openxmlformats.org/officeDocument/2006/relationships/hyperlink" Target="https://www.jurisitetunisie.com/tunisie/codes/cdpf/cdpf1055.htm" TargetMode="External"/><Relationship Id="rIdrvwif90p03htvoxhcotj-" Type="http://schemas.openxmlformats.org/officeDocument/2006/relationships/hyperlink" Target="https://www.finances.gov.tn/fr/node/919" TargetMode="External"/><Relationship Id="rIdp6bq1zhr-gfwvmehlpsw0" Type="http://schemas.openxmlformats.org/officeDocument/2006/relationships/hyperlink" Target="https://www.cnss.tn/en/web/employeur/emp_asset_services/-/asset_publisher/sYQ8/content/emp_secteure_-non_agr3_affiliation" TargetMode="External"/><Relationship Id="rIdatpdqw6vtvlwl-ptijv2k" Type="http://schemas.openxmlformats.org/officeDocument/2006/relationships/hyperlink" Target="https://www.emploi.nat.tn/fo/Fr/global.php?menu1=75&amp;libre=1132" TargetMode="External"/><Relationship Id="rIdgcmepgx8xq0ti0lef3ji1" Type="http://schemas.openxmlformats.org/officeDocument/2006/relationships/hyperlink" Target="https://www.jurisitetunisie.com/tunisie/codes/ct/Ct1150.htm" TargetMode="External"/><Relationship Id="rIdw224mabfo3aeia1ovrjwl" Type="http://schemas.openxmlformats.org/officeDocument/2006/relationships/hyperlink" Target="https://www.tunisie-entreprise.com/info-sarl/capital-minimum-sarl-tunisie" TargetMode="External"/><Relationship Id="rIdfp0u6w3izuio9wm5-ewqf" Type="http://schemas.openxmlformats.org/officeDocument/2006/relationships/hyperlink" Target="https://www.kawanin.com/suarl-votre-cle-pour-reussir-votre-aventure-entrepreneuriale-en-tunisie/" TargetMode="External"/><Relationship Id="rIdljh02arxjluapablyhmec" Type="http://schemas.openxmlformats.org/officeDocument/2006/relationships/hyperlink" Target="https://businessnews.com.tn/2025/12/16/lf-2026-fiscalite-du-patrimoine-regime-forfaitaire-et-amnistie-fiscale-les-eclairages-de-bounenni/1378770/" TargetMode="External"/><Relationship Id="rIdgflsyp57dm5hix1jav7lb" Type="http://schemas.openxmlformats.org/officeDocument/2006/relationships/hyperlink" Target="https://paie-tunisie.com/412/fr/207/publications/statut-de-l-auto-entrepreneur-en-tunisie" TargetMode="External"/><Relationship Id="rIdeup2wy_sze5f-ts8lydt9" Type="http://schemas.openxmlformats.org/officeDocument/2006/relationships/hyperlink" Target="https://swiver.io/blog/bareme-impot-2025/" TargetMode="External"/><Relationship Id="rIdbuerlb5eo_66td6zsisrw" Type="http://schemas.openxmlformats.org/officeDocument/2006/relationships/hyperlink" Target="https://paie-tunisie.com/412/fr/232/publications/bareme-d-imposition-du-revenu-en-tunisie-a-partir-de-2025" TargetMode="External"/><Relationship Id="rId8rcrx0asgga1w8xx7xak8" Type="http://schemas.openxmlformats.org/officeDocument/2006/relationships/hyperlink" Target="https://www.lapresse.tn/2026/01/14/contribution-sociale-de-solidarite-nouvelles-modalites-confirmees-pour-lannee-2026/" TargetMode="External"/><Relationship Id="rIdk1tl2nzgcu1curslvrbjx" Type="http://schemas.openxmlformats.org/officeDocument/2006/relationships/hyperlink" Target="https://ua.tn/loi-de-finances-2025-nouveau-taux-dis/" TargetMode="External"/><Relationship Id="rIdqymussax34ktnpiouvz91" Type="http://schemas.openxmlformats.org/officeDocument/2006/relationships/hyperlink" Target="https://synergie-ac.com/principales-mesures-loi-de-finances-2025/" TargetMode="External"/><Relationship Id="rIdb_k6vtli0tcsswftt8xtx" Type="http://schemas.openxmlformats.org/officeDocument/2006/relationships/hyperlink" Target="https://fr.tradingeconomics.com/tunisia/corporate-tax-rate" TargetMode="External"/><Relationship Id="rId1juwros2ylggfiolc7rpu" Type="http://schemas.openxmlformats.org/officeDocument/2006/relationships/hyperlink" Target="https://irbe7.com/actualites/articles/loi-de-finances-2026-liace-propose-une-reforme-fiscale-avec-un-is-a-15-pour-lindustrie/6921cee9b41beb7e40bbb1ca" TargetMode="External"/><Relationship Id="rIdcxwpsnxwpk8atoachqrlm" Type="http://schemas.openxmlformats.org/officeDocument/2006/relationships/hyperlink" Target="https://www.tunisieindustrie.nat.tn/fr/download/cfga/fiches/7.pdf" TargetMode="External"/></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Livre blanc — L'Environnement de l'Entreprise en Tunisie</dc:title>
  <dc:creator>Livre blanc</dc:creator>
  <dc:description>Cadre institutionnel, juridique et fiscal — Loi de Finances 2026</dc:description>
  <cp:lastModifiedBy>Un-named</cp:lastModifiedBy>
  <cp:revision>1</cp:revision>
  <dcterms:created xsi:type="dcterms:W3CDTF">2026-05-18T05:38:08.470Z</dcterms:created>
  <dcterms:modified xsi:type="dcterms:W3CDTF">2026-05-18T05:38:08.470Z</dcterms:modified>
</cp:coreProperties>
</file>

<file path=docProps/custom.xml><?xml version="1.0" encoding="utf-8"?>
<Properties xmlns="http://schemas.openxmlformats.org/officeDocument/2006/custom-properties" xmlns:vt="http://schemas.openxmlformats.org/officeDocument/2006/docPropsVTypes"/>
</file>