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200"/>
        <w:jc w:val="center"/>
      </w:pPr>
      <w:r>
        <w:rPr>
          <w:b/>
          <w:bCs/>
          <w:color w:val="01696F"/>
          <w:spacing w:val="80"/>
          <w:sz w:val="28"/>
          <w:szCs w:val="28"/>
        </w:rPr>
        <w:t xml:space="preserve">LIVRE BLANC</w:t>
      </w:r>
    </w:p>
    <w:p>
      <w:pPr>
        <w:spacing w:after="200"/>
        <w:jc w:val="center"/>
      </w:pPr>
      <w:r>
        <w:rPr>
          <w:b/>
          <w:bCs/>
          <w:color w:val="28251D"/>
          <w:sz w:val="60"/>
          <w:szCs w:val="60"/>
        </w:rPr>
        <w:t xml:space="preserve">Amnistie Fiscale en Tunisie</w:t>
      </w:r>
    </w:p>
    <w:p>
      <w:pPr>
        <w:spacing w:after="600"/>
        <w:jc w:val="center"/>
      </w:pPr>
      <w:r>
        <w:rPr>
          <w:color w:val="01696F"/>
          <w:sz w:val="44"/>
          <w:szCs w:val="44"/>
        </w:rPr>
        <w:t xml:space="preserve">Édition 2026</w:t>
      </w:r>
    </w:p>
    <w:p>
      <w:pPr>
        <w:spacing w:after="200"/>
        <w:jc w:val="center"/>
      </w:pPr>
      <w:r>
        <w:rPr>
          <w:i/>
          <w:iCs/>
          <w:color w:val="7A7974"/>
          <w:sz w:val="24"/>
          <w:szCs w:val="24"/>
        </w:rPr>
        <w:t xml:space="preserve">Décryptage des dispositions de l'article 69 de la loi de finances 2026</w:t>
      </w:r>
    </w:p>
    <w:p>
      <w:pPr>
        <w:spacing w:after="100"/>
        <w:jc w:val="center"/>
      </w:pPr>
      <w:r>
        <w:rPr>
          <w:i/>
          <w:iCs/>
          <w:color w:val="7A7974"/>
          <w:sz w:val="24"/>
          <w:szCs w:val="24"/>
        </w:rPr>
        <w:t xml:space="preserve">Mécanismes, bénéficiaires, procédures et opportunités stratégiques</w:t>
      </w:r>
    </w:p>
    <w:p>
      <w:pPr>
        <w:spacing w:after="80" w:before="2400"/>
        <w:jc w:val="center"/>
      </w:pPr>
      <w:r>
        <w:rPr>
          <w:color w:val="01696F"/>
          <w:sz w:val="24"/>
          <w:szCs w:val="24"/>
        </w:rPr>
        <w:t xml:space="preserve">——————</w:t>
      </w:r>
    </w:p>
    <w:p>
      <w:pPr>
        <w:spacing w:after="80"/>
        <w:jc w:val="center"/>
      </w:pPr>
      <w:r>
        <w:rPr>
          <w:color w:val="28251D"/>
          <w:sz w:val="22"/>
          <w:szCs w:val="22"/>
        </w:rPr>
        <w:t xml:space="preserve">À destination des entreprises, professions libérales,</w:t>
      </w:r>
    </w:p>
    <w:p>
      <w:pPr>
        <w:spacing w:after="200"/>
        <w:jc w:val="center"/>
      </w:pPr>
      <w:r>
        <w:rPr>
          <w:color w:val="28251D"/>
          <w:sz w:val="22"/>
          <w:szCs w:val="22"/>
        </w:rPr>
        <w:t xml:space="preserve">experts-comptables et particuliers contribuables</w:t>
      </w:r>
    </w:p>
    <w:p>
      <w:pPr>
        <w:spacing w:after="60" w:before="1200"/>
        <w:jc w:val="center"/>
      </w:pPr>
      <w:r>
        <w:rPr>
          <w:b/>
          <w:bCs/>
          <w:color w:val="28251D"/>
          <w:sz w:val="22"/>
          <w:szCs w:val="22"/>
        </w:rPr>
        <w:t xml:space="preserve">Mai 2026</w:t>
      </w:r>
    </w:p>
    <w:p>
      <w:pPr>
        <w:spacing w:after="60"/>
        <w:jc w:val="center"/>
      </w:pPr>
      <w:r>
        <w:rPr>
          <w:color w:val="7A7974"/>
          <w:sz w:val="20"/>
          <w:szCs w:val="20"/>
        </w:rPr>
        <w:t xml:space="preserve">République Tunisienne</w:t>
      </w:r>
    </w:p>
    <w:p>
      <w:pPr>
        <w:pageBreakBefore/>
      </w:pPr>
      <w:r>
        <w:t xml:space="preserve"/>
      </w:r>
    </w:p>
    <w:p>
      <w:pPr>
        <w:pStyle w:val="Heading1"/>
        <w:spacing w:after="200" w:before="0"/>
      </w:pPr>
      <w:r>
        <w:t xml:space="preserve">Sommaire</w:t>
      </w:r>
    </w:p>
    <w:sdt>
      <w:sdtPr>
        <w:alias w:val="Table des matières"/>
      </w:sdtPr>
      <w:sdtContent>
        <w:p>
          <w:r>
            <w:fldChar w:fldCharType="begin" w:dirty="true"/>
            <w:instrText xml:space="preserve">TOC \h \o "1-3"</w:instrText>
            <w:fldChar w:fldCharType="separate"/>
          </w:r>
        </w:p>
        <w:p>
          <w:r>
            <w:fldChar w:fldCharType="end"/>
          </w:r>
        </w:p>
      </w:sdtContent>
    </w:sdt>
    <w:p>
      <w:pPr>
        <w:pStyle w:val="Heading1"/>
        <w:pageBreakBefore/>
        <w:spacing w:after="200" w:before="240"/>
      </w:pPr>
      <w:r>
        <w:t xml:space="preserve">Résumé exécutif</w:t>
      </w:r>
    </w:p>
    <w:p>
      <w:pPr>
        <w:spacing w:after="120" w:line="300"/>
        <w:jc w:val="both"/>
      </w:pPr>
      <w:r>
        <w:rPr>
          <w:color w:val="28251D"/>
        </w:rPr>
        <w:t xml:space="preserve">Le 12 décembre 2025, la République Tunisienne a promulgué la loi n°17 de 2025 portant loi de finances pour l'année 2026, publiée au Journal officiel (JORT n°148).</w:t>
      </w:r>
    </w:p>
    <w:p>
      <w:pPr>
        <w:spacing w:after="120" w:line="300"/>
        <w:jc w:val="both"/>
      </w:pPr>
      <w:r>
        <w:t xml:space="preserve">Parmi les mesures phares de ce texte figure une amnistie fiscale exceptionnelle, instituée par </w:t>
      </w:r>
      <w:r>
        <w:rPr>
          <w:b/>
          <w:bCs/>
        </w:rPr>
        <w:t xml:space="preserve">l'article 69</w:t>
      </w:r>
      <w:r>
        <w:t xml:space="preserve"> et applicable à compter du 1er janvier 2026</w:t>
      </w:r>
      <w:r>
        <w:rPr>
          <w:rStyle w:val="FootnoteReference"/>
        </w:rPr>
        <w:footnoteReference w:id="1"/>
      </w:r>
      <w:r>
        <w:t xml:space="preserve">. Ce dispositif s'inscrit dans la continuité des amnisties successives adoptées en 2017, 2019, 2021, 2024 et 2025, mais s'en distingue par un périmètre élargi, des modalités plus structurées et un calendrier de paiement étendu jusqu'à cinq ans.</w:t>
      </w:r>
    </w:p>
    <w:p>
      <w:pPr>
        <w:pStyle w:val="Heading3"/>
        <w:spacing w:after="100" w:before="220"/>
      </w:pPr>
      <w:r>
        <w:t xml:space="preserve">Les chiffres clés à retenir</w:t>
      </w:r>
    </w:p>
    <w:p>
      <w:pPr>
        <w:pStyle w:val="ListParagraph"/>
        <w:numPr>
          <w:ilvl w:val="0"/>
          <w:numId w:val="2"/>
        </w:numPr>
        <w:spacing w:after="80" w:line="280"/>
        <w:jc w:val="both"/>
      </w:pPr>
      <w:r>
        <w:t xml:space="preserve">100 % des pénalités de contrôle, pénalités de recouvrement et frais de poursuite abandonnés sur les créances fiscales constatées.</w:t>
      </w:r>
    </w:p>
    <w:p>
      <w:pPr>
        <w:pStyle w:val="ListParagraph"/>
        <w:numPr>
          <w:ilvl w:val="0"/>
          <w:numId w:val="2"/>
        </w:numPr>
        <w:spacing w:after="80" w:line="280"/>
        <w:jc w:val="both"/>
      </w:pPr>
      <w:r>
        <w:t xml:space="preserve">50 % d'abattement sur les pénalités relatives aux infractions fiscales administratives.</w:t>
      </w:r>
    </w:p>
    <w:p>
      <w:pPr>
        <w:pStyle w:val="ListParagraph"/>
        <w:numPr>
          <w:ilvl w:val="0"/>
          <w:numId w:val="2"/>
        </w:numPr>
        <w:spacing w:after="80" w:line="280"/>
        <w:jc w:val="both"/>
      </w:pPr>
      <w:r>
        <w:t xml:space="preserve">Totalité des pénalités de retard supprimées sur les déclarations non déposées ou rectificatives échues avant le 31 octobre 2025.</w:t>
      </w:r>
    </w:p>
    <w:p>
      <w:pPr>
        <w:pStyle w:val="ListParagraph"/>
        <w:numPr>
          <w:ilvl w:val="0"/>
          <w:numId w:val="2"/>
        </w:numPr>
        <w:spacing w:after="80" w:line="280"/>
        <w:jc w:val="both"/>
      </w:pPr>
      <w:r>
        <w:t xml:space="preserve">Calendrier de paiement échelonné par tranches trimestrielles sur 5 années maximum.</w:t>
      </w:r>
    </w:p>
    <w:p>
      <w:pPr>
        <w:pStyle w:val="ListParagraph"/>
        <w:numPr>
          <w:ilvl w:val="0"/>
          <w:numId w:val="2"/>
        </w:numPr>
        <w:spacing w:after="80" w:line="280"/>
        <w:jc w:val="both"/>
      </w:pPr>
      <w:r>
        <w:t xml:space="preserve">30 juin 2026 : date butoir pour souscrire au calendrier et payer la première tranche.</w:t>
      </w:r>
    </w:p>
    <w:p>
      <w:pPr>
        <w:pStyle w:val="ListParagraph"/>
        <w:numPr>
          <w:ilvl w:val="0"/>
          <w:numId w:val="2"/>
        </w:numPr>
        <w:spacing w:after="80" w:line="280"/>
        <w:jc w:val="both"/>
      </w:pPr>
      <w:r>
        <w:t xml:space="preserve">30 septembre 2026 : date limite de dépôt des déclarations omises ou rectificatives.</w:t>
      </w:r>
    </w:p>
    <w:p>
      <w:pPr>
        <w:spacing w:after="80"/>
      </w:pPr>
      <w:r>
        <w:t xml:space="preserve"/>
      </w:r>
    </w:p>
    <w:p>
      <w:pPr>
        <w:spacing w:after="120" w:line="300"/>
        <w:jc w:val="both"/>
      </w:pPr>
      <w:r>
        <w:t xml:space="preserve">Dans un contexte de tension budgétaire — déficit prévu de </w:t>
      </w:r>
      <w:r>
        <w:rPr>
          <w:b/>
          <w:bCs/>
        </w:rPr>
        <w:t xml:space="preserve">11,015 milliards de dinars</w:t>
      </w:r>
      <w:r>
        <w:t xml:space="preserve"> pour 2026 et recettes fiscales projetées à </w:t>
      </w:r>
      <w:r>
        <w:rPr>
          <w:b/>
          <w:bCs/>
        </w:rPr>
        <w:t xml:space="preserve">47,773 milliards de dinars</w:t>
      </w:r>
      <w:r>
        <w:rPr>
          <w:rStyle w:val="FootnoteReference"/>
        </w:rPr>
        <w:footnoteReference w:id="6"/>
      </w:r>
      <w:r>
        <w:t xml:space="preserve"> — cette amnistie poursuit un double objectif : </w:t>
      </w:r>
      <w:r>
        <w:rPr>
          <w:b/>
          <w:bCs/>
        </w:rPr>
        <w:t xml:space="preserve">apurer le stock de créances fiscales irrécouvrables</w:t>
      </w:r>
      <w:r>
        <w:t xml:space="preserve"> et </w:t>
      </w:r>
      <w:r>
        <w:rPr>
          <w:b/>
          <w:bCs/>
        </w:rPr>
        <w:t xml:space="preserve">élargir l'assiette fiscale </w:t>
      </w:r>
      <w:r>
        <w:t xml:space="preserve">en incitant à la régularisation spontanée. Pour les contribuables — entreprises, professions libérales, particuliers —, elle constitue une fenêtre d'opportunité unique pour normaliser leur situation fiscale à coût réduit.</w:t>
      </w:r>
    </w:p>
    <w:p>
      <w:pPr>
        <w:spacing w:after="120" w:line="300"/>
        <w:jc w:val="both"/>
      </w:pPr>
      <w:r>
        <w:rPr>
          <w:i/>
          <w:iCs/>
          <w:color w:val="7A7974"/>
        </w:rPr>
        <w:t xml:space="preserve">Le présent livre blanc offre un décryptage complet du dispositif : cadre juridique, périmètre, mécanismes, procédures pratiques, simulations chiffrées, analyse comparée et recommandations stratégiques.</w:t>
      </w:r>
    </w:p>
    <w:p>
      <w:pPr>
        <w:pStyle w:val="Heading1"/>
        <w:pageBreakBefore/>
        <w:spacing w:after="200" w:before="240"/>
      </w:pPr>
      <w:r>
        <w:t xml:space="preserve">1. Contexte économique et fiscal</w:t>
      </w:r>
    </w:p>
    <w:p>
      <w:pPr>
        <w:pStyle w:val="Heading2"/>
        <w:spacing w:after="140" w:before="280"/>
      </w:pPr>
      <w:r>
        <w:t xml:space="preserve">1.1 Une économie sous pression</w:t>
      </w:r>
    </w:p>
    <w:p>
      <w:pPr>
        <w:spacing w:after="120" w:line="300"/>
        <w:jc w:val="both"/>
      </w:pPr>
      <w:r>
        <w:t xml:space="preserve">La Tunisie aborde l'exercice 2026 dans un environnement macroéconomique fragile. Le Fonds monétaire international (FMI) prévoit une croissance modérée de </w:t>
      </w:r>
      <w:r>
        <w:rPr>
          <w:b/>
          <w:bCs/>
        </w:rPr>
        <w:t xml:space="preserve">2,1 % pour 2026</w:t>
      </w:r>
      <w:r>
        <w:t xml:space="preserve">, avec un risque de détérioration du solde budgétaire d'environ 0,5 point de PIB</w:t>
      </w:r>
      <w:r>
        <w:rPr>
          <w:rStyle w:val="FootnoteReference"/>
        </w:rPr>
        <w:footnoteReference w:id="11"/>
      </w:r>
      <w:r>
        <w:t xml:space="preserve">. La masse monétaire fiduciaire en circulation a dépassé </w:t>
      </w:r>
      <w:r>
        <w:rPr>
          <w:b/>
          <w:bCs/>
        </w:rPr>
        <w:t xml:space="preserve">26,5 milliards de dinars fin 2025</w:t>
      </w:r>
      <w:r>
        <w:t xml:space="preserve"> (contre 22 milliards fin 2024), traduisant une expansion préoccupante de l'économie informelle et des transactions en espèces</w:t>
      </w:r>
      <w:r>
        <w:rPr>
          <w:rStyle w:val="FootnoteReference"/>
        </w:rPr>
        <w:footnoteReference w:id="7"/>
      </w:r>
      <w:r>
        <w:t xml:space="preserve">.</w:t>
      </w:r>
    </w:p>
    <w:p>
      <w:pPr>
        <w:pStyle w:val="Heading2"/>
        <w:spacing w:after="140" w:before="280"/>
      </w:pPr>
      <w:r>
        <w:t xml:space="preserve">1.2 La structure du budget 2026</w:t>
      </w:r>
    </w:p>
    <w:p>
      <w:pPr>
        <w:spacing w:after="120" w:line="300"/>
        <w:jc w:val="both"/>
      </w:pPr>
      <w:r>
        <w:t xml:space="preserve">Le budget de l'État pour 2026 fixé par la loi n°17 de 2025 présente les équilibres suivants :</w:t>
      </w:r>
    </w:p>
    <w:p>
      <w:pPr>
        <w:spacing w:after="80"/>
      </w:pPr>
      <w:r>
        <w:t xml:space="preserve"/>
      </w:r>
    </w:p>
    <w:tbl>
      <w:tblPr>
        <w:tblW w:type="dxa" w:w="8800"/>
        <w:tblBorders>
          <w:top w:val="single" w:color="auto" w:sz="4"/>
          <w:left w:val="single" w:color="auto" w:sz="4"/>
          <w:bottom w:val="single" w:color="auto" w:sz="4"/>
          <w:right w:val="single" w:color="auto" w:sz="4"/>
          <w:insideH w:val="single" w:color="auto" w:sz="4"/>
          <w:insideV w:val="single" w:color="auto" w:sz="4"/>
        </w:tblBorders>
      </w:tblPr>
      <w:tblGrid>
        <w:gridCol w:w="3800"/>
        <w:gridCol w:w="2800"/>
        <w:gridCol w:w="2200"/>
      </w:tblGrid>
      <w:tr>
        <w:trPr>
          <w:tblHeader/>
        </w:trPr>
        <w:tc>
          <w:tcPr>
            <w:tcW w:type="dxa" w:w="38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Indicateur budgétaire</w:t>
            </w:r>
          </w:p>
        </w:tc>
        <w:tc>
          <w:tcPr>
            <w:tcW w:type="dxa" w:w="28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Montant (MD TND)</w:t>
            </w:r>
          </w:p>
        </w:tc>
        <w:tc>
          <w:tcPr>
            <w:tcW w:type="dxa" w:w="22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Part du total</w:t>
            </w:r>
          </w:p>
        </w:tc>
      </w:tr>
      <w:tr>
        <w:tc>
          <w:tcPr>
            <w:tcW w:type="dxa" w:w="3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Recettes totales de l'État</w:t>
            </w:r>
          </w:p>
        </w:tc>
        <w:tc>
          <w:tcPr>
            <w:tcW w:type="dxa" w:w="2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52 560</w:t>
            </w:r>
          </w:p>
        </w:tc>
        <w:tc>
          <w:tcPr>
            <w:tcW w:type="dxa" w:w="2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100 %</w:t>
            </w:r>
          </w:p>
        </w:tc>
      </w:tr>
      <w:tr>
        <w:tc>
          <w:tcPr>
            <w:tcW w:type="dxa" w:w="38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 Recettes fiscales</w:t>
            </w:r>
          </w:p>
        </w:tc>
        <w:tc>
          <w:tcPr>
            <w:tcW w:type="dxa" w:w="28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47 773</w:t>
            </w:r>
          </w:p>
        </w:tc>
        <w:tc>
          <w:tcPr>
            <w:tcW w:type="dxa" w:w="22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90,9 %</w:t>
            </w:r>
          </w:p>
        </w:tc>
      </w:tr>
      <w:tr>
        <w:tc>
          <w:tcPr>
            <w:tcW w:type="dxa" w:w="3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 Recettes non fiscales</w:t>
            </w:r>
          </w:p>
        </w:tc>
        <w:tc>
          <w:tcPr>
            <w:tcW w:type="dxa" w:w="2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4 437</w:t>
            </w:r>
          </w:p>
        </w:tc>
        <w:tc>
          <w:tcPr>
            <w:tcW w:type="dxa" w:w="2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8,4 %</w:t>
            </w:r>
          </w:p>
        </w:tc>
      </w:tr>
      <w:tr>
        <w:tc>
          <w:tcPr>
            <w:tcW w:type="dxa" w:w="38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 Dons</w:t>
            </w:r>
          </w:p>
        </w:tc>
        <w:tc>
          <w:tcPr>
            <w:tcW w:type="dxa" w:w="28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350</w:t>
            </w:r>
          </w:p>
        </w:tc>
        <w:tc>
          <w:tcPr>
            <w:tcW w:type="dxa" w:w="22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0,7 %</w:t>
            </w:r>
          </w:p>
        </w:tc>
      </w:tr>
      <w:tr>
        <w:tc>
          <w:tcPr>
            <w:tcW w:type="dxa" w:w="3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Dépenses (crédits de paiement)</w:t>
            </w:r>
          </w:p>
        </w:tc>
        <w:tc>
          <w:tcPr>
            <w:tcW w:type="dxa" w:w="2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63 575</w:t>
            </w:r>
          </w:p>
        </w:tc>
        <w:tc>
          <w:tcPr>
            <w:tcW w:type="dxa" w:w="2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w:t>
            </w:r>
          </w:p>
        </w:tc>
      </w:tr>
      <w:tr>
        <w:tc>
          <w:tcPr>
            <w:tcW w:type="dxa" w:w="38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Déficit budgétaire</w:t>
            </w:r>
          </w:p>
        </w:tc>
        <w:tc>
          <w:tcPr>
            <w:tcW w:type="dxa" w:w="28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11 015</w:t>
            </w:r>
          </w:p>
        </w:tc>
        <w:tc>
          <w:tcPr>
            <w:tcW w:type="dxa" w:w="22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w:t>
            </w:r>
          </w:p>
        </w:tc>
      </w:tr>
      <w:tr>
        <w:tc>
          <w:tcPr>
            <w:tcW w:type="dxa" w:w="3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Besoin total de financement</w:t>
            </w:r>
          </w:p>
        </w:tc>
        <w:tc>
          <w:tcPr>
            <w:tcW w:type="dxa" w:w="2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27 064</w:t>
            </w:r>
          </w:p>
        </w:tc>
        <w:tc>
          <w:tcPr>
            <w:tcW w:type="dxa" w:w="2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w:t>
            </w:r>
          </w:p>
        </w:tc>
      </w:tr>
    </w:tbl>
    <w:p>
      <w:pPr>
        <w:spacing w:after="80"/>
      </w:pPr>
      <w:r>
        <w:t xml:space="preserve"/>
      </w:r>
    </w:p>
    <w:p>
      <w:pPr>
        <w:spacing w:after="120" w:line="300"/>
        <w:jc w:val="both"/>
      </w:pPr>
      <w:r>
        <w:t xml:space="preserve">Avec des recettes fiscales représentant </w:t>
      </w:r>
      <w:r>
        <w:rPr>
          <w:b/>
          <w:bCs/>
        </w:rPr>
        <w:t xml:space="preserve">90,9 % des ressources de l'État</w:t>
      </w:r>
      <w:r>
        <w:t xml:space="preserve">, la mobilisation fiscale constitue le pilier central de l'équilibre budgétaire tunisien</w:t>
      </w:r>
      <w:r>
        <w:rPr>
          <w:rStyle w:val="FootnoteReference"/>
        </w:rPr>
        <w:footnoteReference w:id="6"/>
      </w:r>
      <w:r>
        <w:t xml:space="preserve">. Dans ce contexte, le recouvrement des arriérés fiscaux et l'élargissement de l'assiette deviennent des leviers prioritaires.</w:t>
      </w:r>
    </w:p>
    <w:p>
      <w:pPr>
        <w:pStyle w:val="Heading2"/>
        <w:spacing w:after="140" w:before="280"/>
      </w:pPr>
      <w:r>
        <w:t xml:space="preserve">1.3 Les défis structurels du système fiscal tunisien</w:t>
      </w:r>
    </w:p>
    <w:p>
      <w:pPr>
        <w:pStyle w:val="ListParagraph"/>
        <w:numPr>
          <w:ilvl w:val="0"/>
          <w:numId w:val="2"/>
        </w:numPr>
        <w:spacing w:after="80" w:line="280"/>
        <w:jc w:val="both"/>
      </w:pPr>
      <w:r>
        <w:t xml:space="preserve">Déséquilibre entre l'économie formelle et informelle : forte pression sur les contribuables déclarés, manque à gagner massif sur le secteur informel.</w:t>
      </w:r>
    </w:p>
    <w:p>
      <w:pPr>
        <w:pStyle w:val="ListParagraph"/>
        <w:numPr>
          <w:ilvl w:val="0"/>
          <w:numId w:val="2"/>
        </w:numPr>
        <w:spacing w:after="80" w:line="280"/>
        <w:jc w:val="both"/>
      </w:pPr>
      <w:r>
        <w:t xml:space="preserve">Sentiment d'injustice fiscale : le barème IRPP pénalise dès 40 000 dinars de revenu annuel.</w:t>
      </w:r>
    </w:p>
    <w:p>
      <w:pPr>
        <w:pStyle w:val="ListParagraph"/>
        <w:numPr>
          <w:ilvl w:val="0"/>
          <w:numId w:val="2"/>
        </w:numPr>
        <w:spacing w:after="80" w:line="280"/>
        <w:jc w:val="both"/>
      </w:pPr>
      <w:r>
        <w:t xml:space="preserve">Instabilité législative : changements fréquents des taux d'imposition (IS passé de 15 % à 20 %, contribution conjoncturelle, etc.).</w:t>
      </w:r>
    </w:p>
    <w:p>
      <w:pPr>
        <w:pStyle w:val="ListParagraph"/>
        <w:numPr>
          <w:ilvl w:val="0"/>
          <w:numId w:val="2"/>
        </w:numPr>
        <w:spacing w:after="80" w:line="280"/>
        <w:jc w:val="both"/>
      </w:pPr>
      <w:r>
        <w:t xml:space="preserve">Stock historique d'arriérés : montant cumulé des créances fiscales en souffrance jamais publié officiellement, mais estimé considérable par l'Observatoire tunisien de l'économie.</w:t>
      </w:r>
    </w:p>
    <w:p>
      <w:pPr>
        <w:spacing w:after="80"/>
      </w:pPr>
      <w:r>
        <w:t xml:space="preserve"/>
      </w:r>
    </w:p>
    <w:p>
      <w:pPr>
        <w:spacing w:after="120" w:line="300"/>
        <w:jc w:val="both"/>
      </w:pPr>
      <w:r>
        <w:t xml:space="preserve">Face à ces défis, l'amnistie fiscale 2026 apparaît comme un outil de </w:t>
      </w:r>
      <w:r>
        <w:rPr>
          <w:b/>
          <w:bCs/>
        </w:rPr>
        <w:t xml:space="preserve">pragmatisme budgétaire </w:t>
      </w:r>
      <w:r>
        <w:t xml:space="preserve">— transformer un stock improductif de créances contestées ou irrécouvrables en flux de trésorerie effectif — tout en offrant aux contribuables une voie de réconciliation avec l'administration.</w:t>
      </w:r>
    </w:p>
    <w:p>
      <w:pPr>
        <w:pStyle w:val="Heading1"/>
        <w:pageBreakBefore/>
        <w:spacing w:after="200" w:before="240"/>
      </w:pPr>
      <w:r>
        <w:t xml:space="preserve">2. Cadre juridique de l'amnistie fiscale 2026</w:t>
      </w:r>
    </w:p>
    <w:p>
      <w:pPr>
        <w:pStyle w:val="Heading2"/>
        <w:spacing w:after="140" w:before="280"/>
      </w:pPr>
      <w:r>
        <w:t xml:space="preserve">2.1 Fondement légal</w:t>
      </w:r>
    </w:p>
    <w:p>
      <w:pPr>
        <w:spacing w:after="120" w:line="300"/>
        <w:jc w:val="both"/>
      </w:pPr>
      <w:r>
        <w:t xml:space="preserve">L'amnistie fiscale 2026 trouve son fondement dans </w:t>
      </w:r>
      <w:r>
        <w:rPr>
          <w:b/>
          <w:bCs/>
        </w:rPr>
        <w:t xml:space="preserve">l'article 69 de la loi de finances pour l'année 2026</w:t>
      </w:r>
      <w:r>
        <w:t xml:space="preserve"> (loi n°17 de 2025 du 12 décembre 2025, publiée au JORT n°148)</w:t>
      </w:r>
      <w:r>
        <w:rPr>
          <w:rStyle w:val="FootnoteReference"/>
        </w:rPr>
        <w:footnoteReference w:id="12"/>
      </w:r>
      <w:r>
        <w:t xml:space="preserve">. Le dispositif a été précisé par une note explicative de la </w:t>
      </w:r>
      <w:r>
        <w:rPr>
          <w:b/>
          <w:bCs/>
        </w:rPr>
        <w:t xml:space="preserve">Direction générale des études et de la législation fiscales (DGELF)</w:t>
      </w:r>
      <w:r>
        <w:t xml:space="preserve"> publiée début mars 2026</w:t>
      </w:r>
      <w:r>
        <w:rPr>
          <w:rStyle w:val="FootnoteReference"/>
        </w:rPr>
        <w:footnoteReference w:id="2"/>
      </w:r>
      <w:r>
        <w:t xml:space="preserve">.</w:t>
      </w:r>
    </w:p>
    <w:p>
      <w:pPr>
        <w:pStyle w:val="Heading2"/>
        <w:spacing w:after="140" w:before="280"/>
      </w:pPr>
      <w:r>
        <w:t xml:space="preserve">2.2 Textes de référence</w:t>
      </w:r>
    </w:p>
    <w:p>
      <w:pPr>
        <w:pStyle w:val="ListParagraph"/>
        <w:numPr>
          <w:ilvl w:val="0"/>
          <w:numId w:val="2"/>
        </w:numPr>
        <w:spacing w:after="80" w:line="280"/>
        <w:jc w:val="both"/>
      </w:pPr>
      <w:r>
        <w:t xml:space="preserve">Loi n°17 de 2025 du 12 décembre 2025 portant loi de finances pour l'année 2026 — article 69.</w:t>
      </w:r>
    </w:p>
    <w:p>
      <w:pPr>
        <w:pStyle w:val="ListParagraph"/>
        <w:numPr>
          <w:ilvl w:val="0"/>
          <w:numId w:val="2"/>
        </w:numPr>
        <w:spacing w:after="80" w:line="280"/>
        <w:jc w:val="both"/>
      </w:pPr>
      <w:r>
        <w:t xml:space="preserve">Note explicative de la DGELF (mars 2026) précisant les modalités d'application.</w:t>
      </w:r>
    </w:p>
    <w:p>
      <w:pPr>
        <w:pStyle w:val="ListParagraph"/>
        <w:numPr>
          <w:ilvl w:val="0"/>
          <w:numId w:val="2"/>
        </w:numPr>
        <w:spacing w:after="80" w:line="280"/>
        <w:jc w:val="both"/>
      </w:pPr>
      <w:r>
        <w:t xml:space="preserve">Code des Droits et Procédures Fiscaux (CDPF), articles 81, 82 et 85 visés pour les déclarations en défaut ou rectificatives.</w:t>
      </w:r>
    </w:p>
    <w:p>
      <w:pPr>
        <w:pStyle w:val="ListParagraph"/>
        <w:numPr>
          <w:ilvl w:val="0"/>
          <w:numId w:val="2"/>
        </w:numPr>
        <w:spacing w:after="80" w:line="280"/>
        <w:jc w:val="both"/>
      </w:pPr>
      <w:r>
        <w:t xml:space="preserve">Décrets d'application du ministre chargé des Finances précisant les modalités du calendrier de paiement selon la catégorie du débiteur et le montant à recouvrer.</w:t>
      </w:r>
    </w:p>
    <w:p>
      <w:pPr>
        <w:pStyle w:val="Heading2"/>
        <w:spacing w:after="140" w:before="280"/>
      </w:pPr>
      <w:r>
        <w:t xml:space="preserve">2.3 Adoption et entrée en vigueur</w:t>
      </w:r>
    </w:p>
    <w:p>
      <w:pPr>
        <w:spacing w:after="120" w:line="300"/>
        <w:jc w:val="both"/>
      </w:pPr>
      <w:r>
        <w:t xml:space="preserve">Le dispositif a été approuvé par l'Assemblée des représentants du peuple (ARP) lors de la séance plénière du </w:t>
      </w:r>
      <w:r>
        <w:rPr>
          <w:b/>
          <w:bCs/>
        </w:rPr>
        <w:t xml:space="preserve">mardi 2 décembre 2025</w:t>
      </w:r>
      <w:r>
        <w:t xml:space="preserve">, puis adopté par le Conseil national des régions et des districts avant promulgation présidentielle le 12 décembre 2025</w:t>
      </w:r>
      <w:r>
        <w:rPr>
          <w:rStyle w:val="FootnoteReference"/>
        </w:rPr>
        <w:footnoteReference w:id="4"/>
      </w:r>
      <w:r>
        <w:t xml:space="preserve">. La mesure est entrée en vigueur le </w:t>
      </w:r>
      <w:r>
        <w:rPr>
          <w:b/>
          <w:bCs/>
        </w:rPr>
        <w:t xml:space="preserve">1er janvier 2026</w:t>
      </w:r>
      <w:r>
        <w:t xml:space="preserve">.</w:t>
      </w:r>
    </w:p>
    <w:p>
      <w:pPr>
        <w:pStyle w:val="Heading1"/>
        <w:pageBreakBefore/>
        <w:spacing w:after="200" w:before="240"/>
      </w:pPr>
      <w:r>
        <w:t xml:space="preserve">3. Bénéficiaires et périmètre</w:t>
      </w:r>
    </w:p>
    <w:p>
      <w:pPr>
        <w:pStyle w:val="Heading2"/>
        <w:spacing w:after="140" w:before="280"/>
      </w:pPr>
      <w:r>
        <w:t xml:space="preserve">3.1 Qui peut bénéficier de l'amnistie ?</w:t>
      </w:r>
    </w:p>
    <w:p>
      <w:pPr>
        <w:spacing w:after="120" w:line="300"/>
        <w:jc w:val="both"/>
      </w:pPr>
      <w:r>
        <w:t xml:space="preserve">L'amnistie fiscale 2026 s'adresse à l'ensemble des contribuables en situation irrégulière vis-à-vis de l'administration fiscale tunisienne, sans distinction de statut :</w:t>
      </w:r>
    </w:p>
    <w:p>
      <w:pPr>
        <w:pStyle w:val="ListParagraph"/>
        <w:numPr>
          <w:ilvl w:val="0"/>
          <w:numId w:val="2"/>
        </w:numPr>
        <w:spacing w:after="80" w:line="280"/>
        <w:jc w:val="both"/>
      </w:pPr>
      <w:r>
        <w:t xml:space="preserve">Personnes physiques : salariés, professions libérales, commerçants, artisans, agriculteurs, retraités disposant de revenus imposables.</w:t>
      </w:r>
    </w:p>
    <w:p>
      <w:pPr>
        <w:pStyle w:val="ListParagraph"/>
        <w:numPr>
          <w:ilvl w:val="0"/>
          <w:numId w:val="2"/>
        </w:numPr>
        <w:spacing w:after="80" w:line="280"/>
        <w:jc w:val="both"/>
      </w:pPr>
      <w:r>
        <w:t xml:space="preserve">Personnes morales : sociétés commerciales (SARL, SA, SUARL), groupements d'intérêt économique, associations soumises à l'impôt.</w:t>
      </w:r>
    </w:p>
    <w:p>
      <w:pPr>
        <w:pStyle w:val="ListParagraph"/>
        <w:numPr>
          <w:ilvl w:val="0"/>
          <w:numId w:val="2"/>
        </w:numPr>
        <w:spacing w:after="80" w:line="280"/>
        <w:jc w:val="both"/>
      </w:pPr>
      <w:r>
        <w:t xml:space="preserve">Établissements stables d'entreprises étrangères opérant en Tunisie.</w:t>
      </w:r>
    </w:p>
    <w:p>
      <w:pPr>
        <w:pStyle w:val="ListParagraph"/>
        <w:numPr>
          <w:ilvl w:val="0"/>
          <w:numId w:val="2"/>
        </w:numPr>
        <w:spacing w:after="80" w:line="280"/>
        <w:jc w:val="both"/>
      </w:pPr>
      <w:r>
        <w:t xml:space="preserve">Contribuables ayant des actes, écrits ou déclarations soumis aux droits d'enregistrement.</w:t>
      </w:r>
    </w:p>
    <w:p>
      <w:pPr>
        <w:pStyle w:val="Heading2"/>
        <w:spacing w:after="140" w:before="280"/>
      </w:pPr>
      <w:r>
        <w:t xml:space="preserve">3.2 Les trois catégories de situations couvertes</w:t>
      </w:r>
    </w:p>
    <w:p>
      <w:pPr>
        <w:spacing w:after="80"/>
      </w:pPr>
      <w:r>
        <w:t xml:space="preserve"/>
      </w:r>
    </w:p>
    <w:tbl>
      <w:tblPr>
        <w:tblW w:type="dxa" w:w="8800"/>
        <w:tblBorders>
          <w:top w:val="single" w:color="auto" w:sz="4"/>
          <w:left w:val="single" w:color="auto" w:sz="4"/>
          <w:bottom w:val="single" w:color="auto" w:sz="4"/>
          <w:right w:val="single" w:color="auto" w:sz="4"/>
          <w:insideH w:val="single" w:color="auto" w:sz="4"/>
          <w:insideV w:val="single" w:color="auto" w:sz="4"/>
        </w:tblBorders>
      </w:tblPr>
      <w:tblGrid>
        <w:gridCol w:w="2400"/>
        <w:gridCol w:w="4200"/>
        <w:gridCol w:w="2200"/>
      </w:tblGrid>
      <w:tr>
        <w:trPr>
          <w:tblHeader/>
        </w:trPr>
        <w:tc>
          <w:tcPr>
            <w:tcW w:type="dxa" w:w="24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Catégorie</w:t>
            </w:r>
          </w:p>
        </w:tc>
        <w:tc>
          <w:tcPr>
            <w:tcW w:type="dxa" w:w="42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Définition</w:t>
            </w:r>
          </w:p>
        </w:tc>
        <w:tc>
          <w:tcPr>
            <w:tcW w:type="dxa" w:w="22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Avantage principal</w:t>
            </w:r>
          </w:p>
        </w:tc>
      </w:tr>
      <w:tr>
        <w:tc>
          <w:tcPr>
            <w:tcW w:type="dxa" w:w="24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Créances fiscales constatées</w:t>
            </w:r>
          </w:p>
        </w:tc>
        <w:tc>
          <w:tcPr>
            <w:tcW w:type="dxa" w:w="4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Créances inscrites dans les écritures des receveurs des finances avant le 1er janvier 2026, ou résultant de vérifications notifiées avant le 20 juin 2026.</w:t>
            </w:r>
          </w:p>
        </w:tc>
        <w:tc>
          <w:tcPr>
            <w:tcW w:type="dxa" w:w="2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Abandon total des pénalités de contrôle, de recouvrement et frais de poursuite</w:t>
            </w:r>
          </w:p>
        </w:tc>
      </w:tr>
      <w:tr>
        <w:tc>
          <w:tcPr>
            <w:tcW w:type="dxa" w:w="24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Infractions fiscales administratives</w:t>
            </w:r>
          </w:p>
        </w:tc>
        <w:tc>
          <w:tcPr>
            <w:tcW w:type="dxa" w:w="42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Pénalités et amendes constatées avant le 20 juin 2026 dans les écritures des receveurs des finances.</w:t>
            </w:r>
          </w:p>
        </w:tc>
        <w:tc>
          <w:tcPr>
            <w:tcW w:type="dxa" w:w="22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Abandon de 50 % des pénalités restant dues et frais de poursuite</w:t>
            </w:r>
          </w:p>
        </w:tc>
      </w:tr>
      <w:tr>
        <w:tc>
          <w:tcPr>
            <w:tcW w:type="dxa" w:w="24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Déclarations non déposées ou rectificatives</w:t>
            </w:r>
          </w:p>
        </w:tc>
        <w:tc>
          <w:tcPr>
            <w:tcW w:type="dxa" w:w="4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Déclarations échues avant le 31 octobre 2025, qu'elles soient omises ou nécessitant rectification (même après contrôle fiscal).</w:t>
            </w:r>
          </w:p>
        </w:tc>
        <w:tc>
          <w:tcPr>
            <w:tcW w:type="dxa" w:w="2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Abandon total des pénalités de retard (CDPF art. 81, 82, 85)</w:t>
            </w:r>
          </w:p>
        </w:tc>
      </w:tr>
    </w:tbl>
    <w:p>
      <w:pPr>
        <w:spacing w:after="80"/>
      </w:pPr>
      <w:r>
        <w:t xml:space="preserve"/>
      </w:r>
    </w:p>
    <w:p>
      <w:pPr>
        <w:pStyle w:val="Heading2"/>
        <w:spacing w:after="140" w:before="280"/>
      </w:pPr>
      <w:r>
        <w:t xml:space="preserve">3.3 Exclusions du dispositif</w:t>
      </w:r>
    </w:p>
    <w:p>
      <w:pPr>
        <w:spacing w:after="120" w:line="300"/>
        <w:jc w:val="both"/>
      </w:pPr>
      <w:r>
        <w:t xml:space="preserve">Certaines situations sont </w:t>
      </w:r>
      <w:r>
        <w:rPr>
          <w:b/>
          <w:bCs/>
        </w:rPr>
        <w:t xml:space="preserve">exclues du bénéfice</w:t>
      </w:r>
      <w:r>
        <w:t xml:space="preserve"> de l'amnistie 2026</w:t>
      </w:r>
      <w:r>
        <w:rPr>
          <w:rStyle w:val="FootnoteReference"/>
        </w:rPr>
        <w:footnoteReference w:id="3"/>
      </w:r>
      <w:r>
        <w:t xml:space="preserve"> :</w:t>
      </w:r>
    </w:p>
    <w:p>
      <w:pPr>
        <w:pStyle w:val="ListParagraph"/>
        <w:numPr>
          <w:ilvl w:val="0"/>
          <w:numId w:val="2"/>
        </w:numPr>
        <w:spacing w:after="80" w:line="280"/>
        <w:jc w:val="both"/>
      </w:pPr>
      <w:r>
        <w:t xml:space="preserve">Créances bénéficiant déjà d'un échéancier de paiement dans le cadre de procédures de régularisation antérieures (amnisties 2024 ou 2025 en cours).</w:t>
      </w:r>
    </w:p>
    <w:p>
      <w:pPr>
        <w:pStyle w:val="ListParagraph"/>
        <w:numPr>
          <w:ilvl w:val="0"/>
          <w:numId w:val="2"/>
        </w:numPr>
        <w:spacing w:after="80" w:line="280"/>
        <w:jc w:val="both"/>
      </w:pPr>
      <w:r>
        <w:t xml:space="preserve">Par référence à l'amnistie 2024, les amendes et condamnations pécuniaires relatives aux chèques sans provision, aux infractions liées à la lutte contre le terrorisme et au blanchiment d'argent demeurent expressément exclues du champ des amnisties fiscales.</w:t>
      </w:r>
    </w:p>
    <w:p>
      <w:pPr>
        <w:pStyle w:val="ListParagraph"/>
        <w:numPr>
          <w:ilvl w:val="0"/>
          <w:numId w:val="2"/>
        </w:numPr>
        <w:spacing w:after="80" w:line="280"/>
        <w:jc w:val="both"/>
      </w:pPr>
      <w:r>
        <w:t xml:space="preserve">Déclarations prescrites au regard du droit fiscal tunisien.</w:t>
      </w:r>
    </w:p>
    <w:p>
      <w:pPr>
        <w:pStyle w:val="Heading1"/>
        <w:pageBreakBefore/>
        <w:spacing w:after="200" w:before="240"/>
      </w:pPr>
      <w:r>
        <w:t xml:space="preserve">4. Mécanismes et avantages détaillés</w:t>
      </w:r>
    </w:p>
    <w:p>
      <w:pPr>
        <w:pStyle w:val="Heading2"/>
        <w:spacing w:after="140" w:before="280"/>
      </w:pPr>
      <w:r>
        <w:t xml:space="preserve">4.1 Régularisation des créances fiscales constatées</w:t>
      </w:r>
    </w:p>
    <w:p>
      <w:pPr>
        <w:spacing w:after="120" w:line="300"/>
        <w:jc w:val="both"/>
      </w:pPr>
      <w:r>
        <w:rPr>
          <w:b/>
          <w:bCs/>
        </w:rPr>
        <w:t xml:space="preserve">Périmètre détaillé : </w:t>
      </w:r>
      <w:r>
        <w:t xml:space="preserve">Cette catégorie couvre trois sous-ensembles de créances</w:t>
      </w:r>
      <w:r>
        <w:rPr>
          <w:rStyle w:val="FootnoteReference"/>
        </w:rPr>
        <w:footnoteReference w:id="2"/>
      </w:r>
      <w:r>
        <w:t xml:space="preserve"> :</w:t>
      </w:r>
    </w:p>
    <w:p>
      <w:pPr>
        <w:pStyle w:val="ListParagraph"/>
        <w:numPr>
          <w:ilvl w:val="0"/>
          <w:numId w:val="2"/>
        </w:numPr>
        <w:spacing w:after="80" w:line="280"/>
        <w:jc w:val="both"/>
      </w:pPr>
      <w:r>
        <w:t xml:space="preserve">Créances inscrites dans les écritures des receveurs des finances avant le 1er janvier 2026.</w:t>
      </w:r>
    </w:p>
    <w:p>
      <w:pPr>
        <w:pStyle w:val="ListParagraph"/>
        <w:numPr>
          <w:ilvl w:val="0"/>
          <w:numId w:val="2"/>
        </w:numPr>
        <w:spacing w:after="80" w:line="280"/>
        <w:jc w:val="both"/>
      </w:pPr>
      <w:r>
        <w:t xml:space="preserve">Créances constatées après le 1er janvier 2026 résultant d'une vérification fiscale (conciliation conclue ou taxation d'office notifiée avant le 20 juin 2026), pour des déclarations dont l'échéance était antérieure au 31 octobre 2025.</w:t>
      </w:r>
    </w:p>
    <w:p>
      <w:pPr>
        <w:pStyle w:val="ListParagraph"/>
        <w:numPr>
          <w:ilvl w:val="0"/>
          <w:numId w:val="2"/>
        </w:numPr>
        <w:spacing w:after="80" w:line="280"/>
        <w:jc w:val="both"/>
      </w:pPr>
      <w:r>
        <w:t xml:space="preserve">Créances exigibles en vertu de jugements définitifs en contentieux d'assiette de l'impôt, constatées avant le 20 juin 2026.</w:t>
      </w:r>
    </w:p>
    <w:p>
      <w:pPr>
        <w:spacing w:after="80"/>
      </w:pPr>
      <w:r>
        <w:t xml:space="preserve"/>
      </w:r>
    </w:p>
    <w:p>
      <w:pPr>
        <w:spacing w:after="120" w:line="300"/>
        <w:jc w:val="both"/>
      </w:pPr>
      <w:r>
        <w:rPr>
          <w:b/>
          <w:bCs/>
        </w:rPr>
        <w:t xml:space="preserve">Avantage accordé : </w:t>
      </w:r>
      <w:r>
        <w:t xml:space="preserve">abandon total des </w:t>
      </w:r>
      <w:r>
        <w:rPr>
          <w:b/>
          <w:bCs/>
        </w:rPr>
        <w:t xml:space="preserve">pénalités de contrôle, des pénalités de recouvrement et des frais de poursuite</w:t>
      </w:r>
      <w:r>
        <w:t xml:space="preserve">. Le contribuable reste redevable du principal de l'impôt.</w:t>
      </w:r>
    </w:p>
    <w:p>
      <w:pPr>
        <w:spacing w:after="120" w:line="300"/>
        <w:jc w:val="both"/>
      </w:pPr>
      <w:r>
        <w:rPr>
          <w:b/>
          <w:bCs/>
        </w:rPr>
        <w:t xml:space="preserve">Conditions à remplir : </w:t>
      </w:r>
    </w:p>
    <w:p>
      <w:pPr>
        <w:pStyle w:val="ListParagraph"/>
        <w:numPr>
          <w:ilvl w:val="0"/>
          <w:numId w:val="2"/>
        </w:numPr>
        <w:spacing w:after="80" w:line="280"/>
        <w:jc w:val="both"/>
      </w:pPr>
      <w:r>
        <w:t xml:space="preserve">Souscription d'un calendrier de paiement auprès du receveur des finances compétent au plus tard le 30 juin 2026.</w:t>
      </w:r>
    </w:p>
    <w:p>
      <w:pPr>
        <w:pStyle w:val="ListParagraph"/>
        <w:numPr>
          <w:ilvl w:val="0"/>
          <w:numId w:val="2"/>
        </w:numPr>
        <w:spacing w:after="80" w:line="280"/>
        <w:jc w:val="both"/>
      </w:pPr>
      <w:r>
        <w:t xml:space="preserve">Paiement intégral de la première tranche lors de la souscription du calendrier.</w:t>
      </w:r>
    </w:p>
    <w:p>
      <w:pPr>
        <w:pStyle w:val="ListParagraph"/>
        <w:numPr>
          <w:ilvl w:val="0"/>
          <w:numId w:val="2"/>
        </w:numPr>
        <w:spacing w:after="80" w:line="280"/>
        <w:jc w:val="both"/>
      </w:pPr>
      <w:r>
        <w:t xml:space="preserve">Règlement du solde par tranches trimestrielles sur une période ne pouvant excéder 5 ans.</w:t>
      </w:r>
    </w:p>
    <w:p>
      <w:pPr>
        <w:pStyle w:val="Heading2"/>
        <w:spacing w:after="140" w:before="280"/>
      </w:pPr>
      <w:r>
        <w:t xml:space="preserve">4.2 Régularisation des infractions fiscales administratives</w:t>
      </w:r>
    </w:p>
    <w:p>
      <w:pPr>
        <w:spacing w:after="120" w:line="300"/>
        <w:jc w:val="both"/>
      </w:pPr>
      <w:r>
        <w:rPr>
          <w:b/>
          <w:bCs/>
        </w:rPr>
        <w:t xml:space="preserve">Périmètre : </w:t>
      </w:r>
      <w:r>
        <w:t xml:space="preserve">infractions constatées dans les écritures des receveurs des finances avant le </w:t>
      </w:r>
      <w:r>
        <w:rPr>
          <w:b/>
          <w:bCs/>
        </w:rPr>
        <w:t xml:space="preserve">20 juin 2026</w:t>
      </w:r>
      <w:r>
        <w:t xml:space="preserve">. Sont visées notamment les amendes pour défaut de tenue de comptabilité régulière, les pénalités pour non-respect des obligations déclaratives, et les sanctions liées au défaut de retenue à la source.</w:t>
      </w:r>
    </w:p>
    <w:p>
      <w:pPr>
        <w:spacing w:after="120" w:line="300"/>
        <w:jc w:val="both"/>
      </w:pPr>
      <w:r>
        <w:rPr>
          <w:b/>
          <w:bCs/>
        </w:rPr>
        <w:t xml:space="preserve">Avantage accordé : </w:t>
      </w:r>
      <w:r>
        <w:t xml:space="preserve">abandon de </w:t>
      </w:r>
      <w:r>
        <w:rPr>
          <w:b/>
          <w:bCs/>
        </w:rPr>
        <w:t xml:space="preserve">50 % du montant des pénalités restant dues</w:t>
      </w:r>
      <w:r>
        <w:t xml:space="preserve"> et des frais de poursuite y afférents</w:t>
      </w:r>
      <w:r>
        <w:rPr>
          <w:rStyle w:val="FootnoteReference"/>
        </w:rPr>
        <w:footnoteReference w:id="3"/>
      </w:r>
      <w:r>
        <w:t xml:space="preserve">.</w:t>
      </w:r>
    </w:p>
    <w:p>
      <w:pPr>
        <w:spacing w:after="120" w:line="300"/>
        <w:jc w:val="both"/>
      </w:pPr>
      <w:r>
        <w:rPr>
          <w:b/>
          <w:bCs/>
        </w:rPr>
        <w:t xml:space="preserve">Deux options de règlement</w:t>
      </w:r>
      <w:r>
        <w:t xml:space="preserve"> :</w:t>
      </w:r>
    </w:p>
    <w:p>
      <w:pPr>
        <w:pStyle w:val="ListParagraph"/>
        <w:numPr>
          <w:ilvl w:val="0"/>
          <w:numId w:val="2"/>
        </w:numPr>
        <w:spacing w:after="80" w:line="280"/>
        <w:jc w:val="both"/>
      </w:pPr>
      <w:r>
        <w:t xml:space="preserve">Option 1 — Paiement en une seule fois des 50 % restants au plus tard le 30 juin 2026.</w:t>
      </w:r>
    </w:p>
    <w:p>
      <w:pPr>
        <w:pStyle w:val="ListParagraph"/>
        <w:numPr>
          <w:ilvl w:val="0"/>
          <w:numId w:val="2"/>
        </w:numPr>
        <w:spacing w:after="80" w:line="280"/>
        <w:jc w:val="both"/>
      </w:pPr>
      <w:r>
        <w:t xml:space="preserve">Option 2 — Souscription d'un calendrier de paiement par tranches trimestrielles sur 5 ans maximum, avec paiement intégral de la première tranche au plus tard le 30 juin 2026.</w:t>
      </w:r>
    </w:p>
    <w:p>
      <w:pPr>
        <w:pStyle w:val="Heading2"/>
        <w:spacing w:after="140" w:before="280"/>
      </w:pPr>
      <w:r>
        <w:t xml:space="preserve">4.3 Régularisation des déclarations non déposées ou rectificatives</w:t>
      </w:r>
    </w:p>
    <w:p>
      <w:pPr>
        <w:spacing w:after="120" w:line="300"/>
        <w:jc w:val="both"/>
      </w:pPr>
      <w:r>
        <w:rPr>
          <w:b/>
          <w:bCs/>
        </w:rPr>
        <w:t xml:space="preserve">Périmètre : </w:t>
      </w:r>
      <w:r>
        <w:t xml:space="preserve">déclarations fiscales et actes soumis aux droits d'enregistrement </w:t>
      </w:r>
      <w:r>
        <w:rPr>
          <w:b/>
          <w:bCs/>
        </w:rPr>
        <w:t xml:space="preserve">échus avant le 31 octobre 2025</w:t>
      </w:r>
      <w:r>
        <w:t xml:space="preserve">, qu'il s'agisse de déclarations initialement omises ou de déclarations rectificatives (y compris après intervention du contrôle fiscal ou notification des résultats de vérification).</w:t>
      </w:r>
    </w:p>
    <w:p>
      <w:pPr>
        <w:spacing w:after="120" w:line="300"/>
        <w:jc w:val="both"/>
      </w:pPr>
      <w:r>
        <w:rPr>
          <w:b/>
          <w:bCs/>
        </w:rPr>
        <w:t xml:space="preserve">Avantage accordé : </w:t>
      </w:r>
      <w:r>
        <w:t xml:space="preserve">abandon total des </w:t>
      </w:r>
      <w:r>
        <w:rPr>
          <w:b/>
          <w:bCs/>
        </w:rPr>
        <w:t xml:space="preserve">pénalités prévues aux articles 81, 82 et 85 du Code des Droits et Procédures Fiscaux</w:t>
      </w:r>
      <w:r>
        <w:t xml:space="preserve"> (pénalités de retard de dépôt)</w:t>
      </w:r>
      <w:r>
        <w:rPr>
          <w:rStyle w:val="FootnoteReference"/>
        </w:rPr>
        <w:footnoteReference w:id="13"/>
      </w:r>
      <w:r>
        <w:t xml:space="preserve">.</w:t>
      </w:r>
    </w:p>
    <w:p>
      <w:pPr>
        <w:spacing w:after="120" w:line="300"/>
        <w:jc w:val="both"/>
      </w:pPr>
      <w:r>
        <w:rPr>
          <w:b/>
          <w:bCs/>
        </w:rPr>
        <w:t xml:space="preserve">Conditions cumulatives : </w:t>
      </w:r>
    </w:p>
    <w:p>
      <w:pPr>
        <w:pStyle w:val="ListParagraph"/>
        <w:numPr>
          <w:ilvl w:val="0"/>
          <w:numId w:val="2"/>
        </w:numPr>
        <w:spacing w:after="80" w:line="280"/>
        <w:jc w:val="both"/>
      </w:pPr>
      <w:r>
        <w:t xml:space="preserve">Dépôt des déclarations entre le 1er janvier 2026 et le 30 septembre 2026.</w:t>
      </w:r>
    </w:p>
    <w:p>
      <w:pPr>
        <w:pStyle w:val="ListParagraph"/>
        <w:numPr>
          <w:ilvl w:val="0"/>
          <w:numId w:val="2"/>
        </w:numPr>
        <w:spacing w:after="80" w:line="280"/>
        <w:jc w:val="both"/>
      </w:pPr>
      <w:r>
        <w:t xml:space="preserve">Paiement intégral du principal de l'impôt dû lors du dépôt ou de l'enregistrement.</w:t>
      </w:r>
    </w:p>
    <w:p>
      <w:pPr>
        <w:pStyle w:val="ListParagraph"/>
        <w:numPr>
          <w:ilvl w:val="0"/>
          <w:numId w:val="2"/>
        </w:numPr>
        <w:spacing w:after="80" w:line="280"/>
        <w:jc w:val="both"/>
      </w:pPr>
      <w:r>
        <w:t xml:space="preserve">La déclaration ne doit pas être prescrite au regard de la prescription fiscale de droit commun.</w:t>
      </w:r>
    </w:p>
    <w:p>
      <w:pPr>
        <w:pStyle w:val="Heading2"/>
        <w:spacing w:after="140" w:before="280"/>
      </w:pPr>
      <w:r>
        <w:t xml:space="preserve">4.4 Tableau récapitulatif des trois mécanismes</w:t>
      </w:r>
    </w:p>
    <w:p>
      <w:pPr>
        <w:spacing w:after="80"/>
      </w:pPr>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2200"/>
        <w:gridCol w:w="2000"/>
        <w:gridCol w:w="1800"/>
      </w:tblGrid>
      <w:tr>
        <w:trPr>
          <w:tblHeader/>
        </w:trPr>
        <w:tc>
          <w:tcPr>
            <w:tcW w:type="dxa" w:w="30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Mécanisme</w:t>
            </w:r>
          </w:p>
        </w:tc>
        <w:tc>
          <w:tcPr>
            <w:tcW w:type="dxa" w:w="22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Abattement</w:t>
            </w:r>
          </w:p>
        </w:tc>
        <w:tc>
          <w:tcPr>
            <w:tcW w:type="dxa" w:w="20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Date limite de souscription</w:t>
            </w:r>
          </w:p>
        </w:tc>
        <w:tc>
          <w:tcPr>
            <w:tcW w:type="dxa" w:w="18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Étalement maximum</w:t>
            </w:r>
          </w:p>
        </w:tc>
      </w:tr>
      <w:tr>
        <w:tc>
          <w:tcPr>
            <w:tcW w:type="dxa" w:w="30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Créances constatées</w:t>
            </w:r>
          </w:p>
        </w:tc>
        <w:tc>
          <w:tcPr>
            <w:tcW w:type="dxa" w:w="2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100 % pénalités + frais</w:t>
            </w:r>
          </w:p>
        </w:tc>
        <w:tc>
          <w:tcPr>
            <w:tcW w:type="dxa" w:w="20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30 juin 2026</w:t>
            </w:r>
          </w:p>
        </w:tc>
        <w:tc>
          <w:tcPr>
            <w:tcW w:type="dxa" w:w="1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5 ans (trimestres)</w:t>
            </w:r>
          </w:p>
        </w:tc>
      </w:tr>
      <w:tr>
        <w:tc>
          <w:tcPr>
            <w:tcW w:type="dxa" w:w="30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Infractions administratives</w:t>
            </w:r>
          </w:p>
        </w:tc>
        <w:tc>
          <w:tcPr>
            <w:tcW w:type="dxa" w:w="22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50 % pénalités + frais</w:t>
            </w:r>
          </w:p>
        </w:tc>
        <w:tc>
          <w:tcPr>
            <w:tcW w:type="dxa" w:w="20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30 juin 2026</w:t>
            </w:r>
          </w:p>
        </w:tc>
        <w:tc>
          <w:tcPr>
            <w:tcW w:type="dxa" w:w="18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5 ans (trimestres)</w:t>
            </w:r>
          </w:p>
        </w:tc>
      </w:tr>
      <w:tr>
        <w:tc>
          <w:tcPr>
            <w:tcW w:type="dxa" w:w="30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Déclarations en défaut/rectificatives</w:t>
            </w:r>
          </w:p>
        </w:tc>
        <w:tc>
          <w:tcPr>
            <w:tcW w:type="dxa" w:w="2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100 % pénalités (CDPF 81-82-85)</w:t>
            </w:r>
          </w:p>
        </w:tc>
        <w:tc>
          <w:tcPr>
            <w:tcW w:type="dxa" w:w="20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30 septembre 2026</w:t>
            </w:r>
          </w:p>
        </w:tc>
        <w:tc>
          <w:tcPr>
            <w:tcW w:type="dxa" w:w="1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Paiement intégral du principal au dépôt</w:t>
            </w:r>
          </w:p>
        </w:tc>
      </w:tr>
    </w:tbl>
    <w:p>
      <w:pPr>
        <w:pStyle w:val="Heading1"/>
        <w:pageBreakBefore/>
        <w:spacing w:after="200" w:before="240"/>
      </w:pPr>
      <w:r>
        <w:t xml:space="preserve">5. Calendrier et procédures pratiques</w:t>
      </w:r>
    </w:p>
    <w:p>
      <w:pPr>
        <w:pStyle w:val="Heading2"/>
        <w:spacing w:after="140" w:before="280"/>
      </w:pPr>
      <w:r>
        <w:t xml:space="preserve">5.1 Les dates clés à mémoriser</w:t>
      </w:r>
    </w:p>
    <w:p>
      <w:pPr>
        <w:spacing w:after="80"/>
      </w:pPr>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400"/>
        <w:gridCol w:w="6600"/>
      </w:tblGrid>
      <w:tr>
        <w:trPr>
          <w:tblHeader/>
        </w:trPr>
        <w:tc>
          <w:tcPr>
            <w:tcW w:type="dxa" w:w="24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Échéance</w:t>
            </w:r>
          </w:p>
        </w:tc>
        <w:tc>
          <w:tcPr>
            <w:tcW w:type="dxa" w:w="66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Événement</w:t>
            </w:r>
          </w:p>
        </w:tc>
      </w:tr>
      <w:tr>
        <w:tc>
          <w:tcPr>
            <w:tcW w:type="dxa" w:w="24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31 octobre 2025</w:t>
            </w:r>
          </w:p>
        </w:tc>
        <w:tc>
          <w:tcPr>
            <w:tcW w:type="dxa" w:w="66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Date limite originelle des déclarations éligibles à la régularisation</w:t>
            </w:r>
          </w:p>
        </w:tc>
      </w:tr>
      <w:tr>
        <w:tc>
          <w:tcPr>
            <w:tcW w:type="dxa" w:w="24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2 décembre 2025</w:t>
            </w:r>
          </w:p>
        </w:tc>
        <w:tc>
          <w:tcPr>
            <w:tcW w:type="dxa" w:w="66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Adoption à l'ARP du dispositif d'amnistie</w:t>
            </w:r>
          </w:p>
        </w:tc>
      </w:tr>
      <w:tr>
        <w:tc>
          <w:tcPr>
            <w:tcW w:type="dxa" w:w="24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12 décembre 2025</w:t>
            </w:r>
          </w:p>
        </w:tc>
        <w:tc>
          <w:tcPr>
            <w:tcW w:type="dxa" w:w="66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Publication de la loi de finances 2026 au JORT (loi n°17 de 2025)</w:t>
            </w:r>
          </w:p>
        </w:tc>
      </w:tr>
      <w:tr>
        <w:tc>
          <w:tcPr>
            <w:tcW w:type="dxa" w:w="24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1er janvier 2026</w:t>
            </w:r>
          </w:p>
        </w:tc>
        <w:tc>
          <w:tcPr>
            <w:tcW w:type="dxa" w:w="66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Entrée en vigueur de l'amnistie fiscale 2026</w:t>
            </w:r>
          </w:p>
        </w:tc>
      </w:tr>
      <w:tr>
        <w:tc>
          <w:tcPr>
            <w:tcW w:type="dxa" w:w="24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Début mars 2026</w:t>
            </w:r>
          </w:p>
        </w:tc>
        <w:tc>
          <w:tcPr>
            <w:tcW w:type="dxa" w:w="66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Publication par la DGELF de la note explicative d'application</w:t>
            </w:r>
          </w:p>
        </w:tc>
      </w:tr>
      <w:tr>
        <w:tc>
          <w:tcPr>
            <w:tcW w:type="dxa" w:w="24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20 juin 2026</w:t>
            </w:r>
          </w:p>
        </w:tc>
        <w:tc>
          <w:tcPr>
            <w:tcW w:type="dxa" w:w="66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Date limite de notification des résultats de vérification éligibles</w:t>
            </w:r>
          </w:p>
        </w:tc>
      </w:tr>
      <w:tr>
        <w:tc>
          <w:tcPr>
            <w:tcW w:type="dxa" w:w="24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30 juin 2026</w:t>
            </w:r>
          </w:p>
        </w:tc>
        <w:tc>
          <w:tcPr>
            <w:tcW w:type="dxa" w:w="66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Date limite de souscription des calendriers de paiement et paiement de la 1ère tranche</w:t>
            </w:r>
          </w:p>
        </w:tc>
      </w:tr>
      <w:tr>
        <w:tc>
          <w:tcPr>
            <w:tcW w:type="dxa" w:w="24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30 septembre 2026</w:t>
            </w:r>
          </w:p>
        </w:tc>
        <w:tc>
          <w:tcPr>
            <w:tcW w:type="dxa" w:w="66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Date limite de dépôt des déclarations omises ou rectificatives</w:t>
            </w:r>
          </w:p>
        </w:tc>
      </w:tr>
    </w:tbl>
    <w:p>
      <w:pPr>
        <w:spacing w:after="80"/>
      </w:pPr>
      <w:r>
        <w:t xml:space="preserve"/>
      </w:r>
    </w:p>
    <w:p>
      <w:pPr>
        <w:pStyle w:val="Heading2"/>
        <w:spacing w:after="140" w:before="280"/>
      </w:pPr>
      <w:r>
        <w:t xml:space="preserve">5.2 Procédure pas à pas pour le contribuable</w:t>
      </w:r>
    </w:p>
    <w:p>
      <w:pPr>
        <w:spacing w:after="120" w:line="300"/>
        <w:jc w:val="both"/>
      </w:pPr>
      <w:r>
        <w:rPr>
          <w:b/>
          <w:bCs/>
          <w:color w:val="01696F"/>
        </w:rPr>
        <w:t xml:space="preserve">Étape 1 — Diagnostic de situation</w:t>
      </w:r>
    </w:p>
    <w:p>
      <w:pPr>
        <w:spacing w:after="120" w:line="300"/>
        <w:jc w:val="both"/>
      </w:pPr>
      <w:r>
        <w:t xml:space="preserve">Réaliser un état des lieux exhaustif avec l'aide d'un expert-comptable ou conseiller fiscal :</w:t>
      </w:r>
    </w:p>
    <w:p>
      <w:pPr>
        <w:pStyle w:val="ListParagraph"/>
        <w:numPr>
          <w:ilvl w:val="0"/>
          <w:numId w:val="2"/>
        </w:numPr>
        <w:spacing w:after="80" w:line="280"/>
        <w:jc w:val="both"/>
      </w:pPr>
      <w:r>
        <w:t xml:space="preserve">Identifier l'ensemble des créances fiscales constatées (extraits des comptes auprès des recettes des finances).</w:t>
      </w:r>
    </w:p>
    <w:p>
      <w:pPr>
        <w:pStyle w:val="ListParagraph"/>
        <w:numPr>
          <w:ilvl w:val="0"/>
          <w:numId w:val="2"/>
        </w:numPr>
        <w:spacing w:after="80" w:line="280"/>
        <w:jc w:val="both"/>
      </w:pPr>
      <w:r>
        <w:t xml:space="preserve">Lister les infractions administratives en cours et leur montant.</w:t>
      </w:r>
    </w:p>
    <w:p>
      <w:pPr>
        <w:pStyle w:val="ListParagraph"/>
        <w:numPr>
          <w:ilvl w:val="0"/>
          <w:numId w:val="2"/>
        </w:numPr>
        <w:spacing w:after="80" w:line="280"/>
        <w:jc w:val="both"/>
      </w:pPr>
      <w:r>
        <w:t xml:space="preserve">Recenser les déclarations omises ou erronées (TVA, IRPP, IS, retenues à la source, droits d'enregistrement, etc.).</w:t>
      </w:r>
    </w:p>
    <w:p>
      <w:pPr>
        <w:pStyle w:val="ListParagraph"/>
        <w:numPr>
          <w:ilvl w:val="0"/>
          <w:numId w:val="2"/>
        </w:numPr>
        <w:spacing w:after="80" w:line="280"/>
        <w:jc w:val="both"/>
      </w:pPr>
      <w:r>
        <w:t xml:space="preserve">Évaluer le principal de l'impôt dû pour chaque situation.</w:t>
      </w:r>
    </w:p>
    <w:p>
      <w:pPr>
        <w:spacing w:after="80"/>
      </w:pPr>
      <w:r>
        <w:t xml:space="preserve"/>
      </w:r>
    </w:p>
    <w:p>
      <w:pPr>
        <w:spacing w:after="120" w:line="300"/>
        <w:jc w:val="both"/>
      </w:pPr>
      <w:r>
        <w:rPr>
          <w:b/>
          <w:bCs/>
          <w:color w:val="01696F"/>
        </w:rPr>
        <w:t xml:space="preserve">Étape 2 — Choix stratégique de l'approche</w:t>
      </w:r>
    </w:p>
    <w:p>
      <w:pPr>
        <w:spacing w:after="120" w:line="300"/>
        <w:jc w:val="both"/>
      </w:pPr>
      <w:r>
        <w:t xml:space="preserve">Trois options stratégiques sont envisageables selon la trésorerie disponible :</w:t>
      </w:r>
    </w:p>
    <w:p>
      <w:pPr>
        <w:pStyle w:val="ListParagraph"/>
        <w:numPr>
          <w:ilvl w:val="0"/>
          <w:numId w:val="2"/>
        </w:numPr>
        <w:spacing w:after="80" w:line="280"/>
        <w:jc w:val="both"/>
      </w:pPr>
      <w:r>
        <w:t xml:space="preserve">Paiement accéléré : maximiser l'abattement (notamment les 50 % sur infractions) en réglant rapidement et en une fois.</w:t>
      </w:r>
    </w:p>
    <w:p>
      <w:pPr>
        <w:pStyle w:val="ListParagraph"/>
        <w:numPr>
          <w:ilvl w:val="0"/>
          <w:numId w:val="2"/>
        </w:numPr>
        <w:spacing w:after="80" w:line="280"/>
        <w:jc w:val="both"/>
      </w:pPr>
      <w:r>
        <w:t xml:space="preserve">Étalement long : préserver la trésorerie en optant pour un calendrier de paiement sur 5 ans avec tranches trimestrielles.</w:t>
      </w:r>
    </w:p>
    <w:p>
      <w:pPr>
        <w:pStyle w:val="ListParagraph"/>
        <w:numPr>
          <w:ilvl w:val="0"/>
          <w:numId w:val="2"/>
        </w:numPr>
        <w:spacing w:after="80" w:line="280"/>
        <w:jc w:val="both"/>
      </w:pPr>
      <w:r>
        <w:t xml:space="preserve">Approche mixte : régularisation immédiate des déclarations omises (paiement du principal) + étalement des créances constatées sur 5 ans.</w:t>
      </w:r>
    </w:p>
    <w:p>
      <w:pPr>
        <w:spacing w:after="80"/>
      </w:pPr>
      <w:r>
        <w:t xml:space="preserve"/>
      </w:r>
    </w:p>
    <w:p>
      <w:pPr>
        <w:spacing w:after="120" w:line="300"/>
        <w:jc w:val="both"/>
      </w:pPr>
      <w:r>
        <w:rPr>
          <w:b/>
          <w:bCs/>
          <w:color w:val="01696F"/>
        </w:rPr>
        <w:t xml:space="preserve">Étape 3 — Souscription formelle</w:t>
      </w:r>
    </w:p>
    <w:p>
      <w:pPr>
        <w:pStyle w:val="ListParagraph"/>
        <w:numPr>
          <w:ilvl w:val="0"/>
          <w:numId w:val="2"/>
        </w:numPr>
        <w:spacing w:after="80" w:line="280"/>
        <w:jc w:val="both"/>
      </w:pPr>
      <w:r>
        <w:t xml:space="preserve">Se présenter au receveur des finances territorialement compétent muni des justificatifs.</w:t>
      </w:r>
    </w:p>
    <w:p>
      <w:pPr>
        <w:pStyle w:val="ListParagraph"/>
        <w:numPr>
          <w:ilvl w:val="0"/>
          <w:numId w:val="2"/>
        </w:numPr>
        <w:spacing w:after="80" w:line="280"/>
        <w:jc w:val="both"/>
      </w:pPr>
      <w:r>
        <w:t xml:space="preserve">Signer le calendrier de paiement (procès-verbal d'engagement).</w:t>
      </w:r>
    </w:p>
    <w:p>
      <w:pPr>
        <w:pStyle w:val="ListParagraph"/>
        <w:numPr>
          <w:ilvl w:val="0"/>
          <w:numId w:val="2"/>
        </w:numPr>
        <w:spacing w:after="80" w:line="280"/>
        <w:jc w:val="both"/>
      </w:pPr>
      <w:r>
        <w:t xml:space="preserve">Régler la première tranche en numéraire, chèque bancaire, virement ou tout moyen accepté.</w:t>
      </w:r>
    </w:p>
    <w:p>
      <w:pPr>
        <w:pStyle w:val="ListParagraph"/>
        <w:numPr>
          <w:ilvl w:val="0"/>
          <w:numId w:val="2"/>
        </w:numPr>
        <w:spacing w:after="80" w:line="280"/>
        <w:jc w:val="both"/>
      </w:pPr>
      <w:r>
        <w:t xml:space="preserve">Pour les déclarations rectificatives : dépôt au bureau de contrôle des impôts avec règlement du principal.</w:t>
      </w:r>
    </w:p>
    <w:p>
      <w:pPr>
        <w:spacing w:after="80"/>
      </w:pPr>
      <w:r>
        <w:t xml:space="preserve"/>
      </w:r>
    </w:p>
    <w:p>
      <w:pPr>
        <w:spacing w:after="120" w:line="300"/>
        <w:jc w:val="both"/>
      </w:pPr>
      <w:r>
        <w:rPr>
          <w:b/>
          <w:bCs/>
          <w:color w:val="01696F"/>
        </w:rPr>
        <w:t xml:space="preserve">Étape 4 — Suivi des paiements</w:t>
      </w:r>
    </w:p>
    <w:p>
      <w:pPr>
        <w:pStyle w:val="ListParagraph"/>
        <w:numPr>
          <w:ilvl w:val="0"/>
          <w:numId w:val="2"/>
        </w:numPr>
        <w:spacing w:after="80" w:line="280"/>
        <w:jc w:val="both"/>
      </w:pPr>
      <w:r>
        <w:t xml:space="preserve">Respecter scrupuleusement chaque échéance trimestrielle.</w:t>
      </w:r>
    </w:p>
    <w:p>
      <w:pPr>
        <w:pStyle w:val="ListParagraph"/>
        <w:numPr>
          <w:ilvl w:val="0"/>
          <w:numId w:val="2"/>
        </w:numPr>
        <w:spacing w:after="80" w:line="280"/>
        <w:jc w:val="both"/>
      </w:pPr>
      <w:r>
        <w:t xml:space="preserve">Conserver l'ensemble des quittances et justificatifs de paiement.</w:t>
      </w:r>
    </w:p>
    <w:p>
      <w:pPr>
        <w:pStyle w:val="ListParagraph"/>
        <w:numPr>
          <w:ilvl w:val="0"/>
          <w:numId w:val="2"/>
        </w:numPr>
        <w:spacing w:after="80" w:line="280"/>
        <w:jc w:val="both"/>
      </w:pPr>
      <w:r>
        <w:t xml:space="preserve">En cas de difficulté ponctuelle, anticiper en sollicitant un aménagement (dans la limite du plafond de 5 ans).</w:t>
      </w:r>
    </w:p>
    <w:p>
      <w:pPr>
        <w:pStyle w:val="Heading2"/>
        <w:spacing w:after="140" w:before="280"/>
      </w:pPr>
      <w:r>
        <w:t xml:space="preserve">5.3 Sanctions en cas de non-respect du calendrier</w:t>
      </w:r>
    </w:p>
    <w:p>
      <w:pPr>
        <w:spacing w:after="120" w:line="300"/>
        <w:jc w:val="both"/>
      </w:pPr>
      <w:r>
        <w:t xml:space="preserve">Selon les principes hérités des amnisties précédentes — confirmés par la note DGELF — le non-respect du calendrier entraîne des conséquences sévères</w:t>
      </w:r>
      <w:r>
        <w:rPr>
          <w:rStyle w:val="FootnoteReference"/>
        </w:rPr>
        <w:footnoteReference w:id="4"/>
      </w:r>
      <w:r>
        <w:t xml:space="preserve"> :</w:t>
      </w:r>
    </w:p>
    <w:p>
      <w:pPr>
        <w:pStyle w:val="ListParagraph"/>
        <w:numPr>
          <w:ilvl w:val="0"/>
          <w:numId w:val="2"/>
        </w:numPr>
        <w:spacing w:after="80" w:line="280"/>
        <w:jc w:val="both"/>
      </w:pPr>
      <w:r>
        <w:t xml:space="preserve">Reprise immédiate des procédures légales de recouvrement dès le premier manquement.</w:t>
      </w:r>
    </w:p>
    <w:p>
      <w:pPr>
        <w:pStyle w:val="ListParagraph"/>
        <w:numPr>
          <w:ilvl w:val="0"/>
          <w:numId w:val="2"/>
        </w:numPr>
        <w:spacing w:after="80" w:line="280"/>
        <w:jc w:val="both"/>
      </w:pPr>
      <w:r>
        <w:t xml:space="preserve">Application d'une pénalité de retard de 1,25 % par mois sur la tranche impayée.</w:t>
      </w:r>
    </w:p>
    <w:p>
      <w:pPr>
        <w:pStyle w:val="ListParagraph"/>
        <w:numPr>
          <w:ilvl w:val="0"/>
          <w:numId w:val="2"/>
        </w:numPr>
        <w:spacing w:after="80" w:line="280"/>
        <w:jc w:val="both"/>
      </w:pPr>
      <w:r>
        <w:t xml:space="preserve">Annulation rétroactive du droit à l'amnistie 120 jours après la date limite de paiement de la dernière tranche, entraînant l'exigibilité totale des dettes initiales (principal + pénalités intégrales sans aucune déduction).</w:t>
      </w:r>
    </w:p>
    <w:p>
      <w:pPr>
        <w:pStyle w:val="Heading1"/>
        <w:pageBreakBefore/>
        <w:spacing w:after="200" w:before="240"/>
      </w:pPr>
      <w:r>
        <w:t xml:space="preserve">6. Simulations chiffrées et cas pratiques</w:t>
      </w:r>
    </w:p>
    <w:p>
      <w:pPr>
        <w:spacing w:after="120" w:line="300"/>
        <w:jc w:val="both"/>
      </w:pPr>
      <w:r>
        <w:rPr>
          <w:i/>
          <w:iCs/>
        </w:rPr>
        <w:t xml:space="preserve">Pour illustrer concrètement le bénéfice de l'amnistie, examinons trois situations représentatives.</w:t>
      </w:r>
    </w:p>
    <w:p>
      <w:pPr>
        <w:pStyle w:val="Heading2"/>
        <w:spacing w:after="140" w:before="280"/>
      </w:pPr>
      <w:r>
        <w:t xml:space="preserve">6.1 Cas n°1 — PME avec créances fiscales constatées</w:t>
      </w:r>
    </w:p>
    <w:p>
      <w:pPr>
        <w:spacing w:after="120" w:line="300"/>
        <w:jc w:val="both"/>
      </w:pPr>
      <w:r>
        <w:rPr>
          <w:b/>
          <w:bCs/>
        </w:rPr>
        <w:t xml:space="preserve">Situation : </w:t>
      </w:r>
      <w:r>
        <w:t xml:space="preserve">Une SARL exerçant dans le BTP fait l'objet d'une taxation d'office notifiée en novembre 2025 portant sur la TVA 2022-2023. Montant du principal : 80 000 TND. Pénalités de contrôle accumulées : 32 000 TND. Frais de poursuite : 3 000 TND.</w:t>
      </w:r>
    </w:p>
    <w:p>
      <w:pPr>
        <w:spacing w:after="80"/>
      </w:pPr>
      <w:r>
        <w:t xml:space="preserve"/>
      </w:r>
    </w:p>
    <w:tbl>
      <w:tblPr>
        <w:tblW w:type="dxa" w:w="8800"/>
        <w:tblBorders>
          <w:top w:val="single" w:color="auto" w:sz="4"/>
          <w:left w:val="single" w:color="auto" w:sz="4"/>
          <w:bottom w:val="single" w:color="auto" w:sz="4"/>
          <w:right w:val="single" w:color="auto" w:sz="4"/>
          <w:insideH w:val="single" w:color="auto" w:sz="4"/>
          <w:insideV w:val="single" w:color="auto" w:sz="4"/>
        </w:tblBorders>
      </w:tblPr>
      <w:tblGrid>
        <w:gridCol w:w="2200"/>
        <w:gridCol w:w="2200"/>
        <w:gridCol w:w="2200"/>
        <w:gridCol w:w="2200"/>
      </w:tblGrid>
      <w:tr>
        <w:trPr>
          <w:tblHeader/>
        </w:trPr>
        <w:tc>
          <w:tcPr>
            <w:tcW w:type="dxa" w:w="22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Élément</w:t>
            </w:r>
          </w:p>
        </w:tc>
        <w:tc>
          <w:tcPr>
            <w:tcW w:type="dxa" w:w="22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Sans amnistie</w:t>
            </w:r>
          </w:p>
        </w:tc>
        <w:tc>
          <w:tcPr>
            <w:tcW w:type="dxa" w:w="22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Avec amnistie 2026</w:t>
            </w:r>
          </w:p>
        </w:tc>
        <w:tc>
          <w:tcPr>
            <w:tcW w:type="dxa" w:w="22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Économie</w:t>
            </w:r>
          </w:p>
        </w:tc>
      </w:tr>
      <w:tr>
        <w:tc>
          <w:tcPr>
            <w:tcW w:type="dxa" w:w="2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Principal TVA</w:t>
            </w:r>
          </w:p>
        </w:tc>
        <w:tc>
          <w:tcPr>
            <w:tcW w:type="dxa" w:w="2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80 000 TND</w:t>
            </w:r>
          </w:p>
        </w:tc>
        <w:tc>
          <w:tcPr>
            <w:tcW w:type="dxa" w:w="2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80 000 TND</w:t>
            </w:r>
          </w:p>
        </w:tc>
        <w:tc>
          <w:tcPr>
            <w:tcW w:type="dxa" w:w="2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w:t>
            </w:r>
          </w:p>
        </w:tc>
      </w:tr>
      <w:tr>
        <w:tc>
          <w:tcPr>
            <w:tcW w:type="dxa" w:w="22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Pénalités de contrôle</w:t>
            </w:r>
          </w:p>
        </w:tc>
        <w:tc>
          <w:tcPr>
            <w:tcW w:type="dxa" w:w="22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32 000 TND</w:t>
            </w:r>
          </w:p>
        </w:tc>
        <w:tc>
          <w:tcPr>
            <w:tcW w:type="dxa" w:w="22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0 TND</w:t>
            </w:r>
          </w:p>
        </w:tc>
        <w:tc>
          <w:tcPr>
            <w:tcW w:type="dxa" w:w="22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32 000 TND</w:t>
            </w:r>
          </w:p>
        </w:tc>
      </w:tr>
      <w:tr>
        <w:tc>
          <w:tcPr>
            <w:tcW w:type="dxa" w:w="2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Frais de poursuite</w:t>
            </w:r>
          </w:p>
        </w:tc>
        <w:tc>
          <w:tcPr>
            <w:tcW w:type="dxa" w:w="2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3 000 TND</w:t>
            </w:r>
          </w:p>
        </w:tc>
        <w:tc>
          <w:tcPr>
            <w:tcW w:type="dxa" w:w="2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0 TND</w:t>
            </w:r>
          </w:p>
        </w:tc>
        <w:tc>
          <w:tcPr>
            <w:tcW w:type="dxa" w:w="2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3 000 TND</w:t>
            </w:r>
          </w:p>
        </w:tc>
      </w:tr>
      <w:tr>
        <w:tc>
          <w:tcPr>
            <w:tcW w:type="dxa" w:w="22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Total à payer</w:t>
            </w:r>
          </w:p>
        </w:tc>
        <w:tc>
          <w:tcPr>
            <w:tcW w:type="dxa" w:w="22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115 000 TND</w:t>
            </w:r>
          </w:p>
        </w:tc>
        <w:tc>
          <w:tcPr>
            <w:tcW w:type="dxa" w:w="22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80 000 TND</w:t>
            </w:r>
          </w:p>
        </w:tc>
        <w:tc>
          <w:tcPr>
            <w:tcW w:type="dxa" w:w="22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35 000 TND</w:t>
            </w:r>
          </w:p>
        </w:tc>
      </w:tr>
      <w:tr>
        <w:tc>
          <w:tcPr>
            <w:tcW w:type="dxa" w:w="2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Modalité</w:t>
            </w:r>
          </w:p>
        </w:tc>
        <w:tc>
          <w:tcPr>
            <w:tcW w:type="dxa" w:w="2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Exigible immédiatement</w:t>
            </w:r>
          </w:p>
        </w:tc>
        <w:tc>
          <w:tcPr>
            <w:tcW w:type="dxa" w:w="2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20 tranches trimestrielles</w:t>
            </w:r>
          </w:p>
        </w:tc>
        <w:tc>
          <w:tcPr>
            <w:tcW w:type="dxa" w:w="2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Trésorerie préservée</w:t>
            </w:r>
          </w:p>
        </w:tc>
      </w:tr>
    </w:tbl>
    <w:p>
      <w:pPr>
        <w:spacing w:after="80"/>
      </w:pPr>
      <w:r>
        <w:t xml:space="preserve"/>
      </w:r>
    </w:p>
    <w:p>
      <w:pPr>
        <w:spacing w:after="120" w:line="300"/>
        <w:jc w:val="both"/>
      </w:pPr>
      <w:r>
        <w:rPr>
          <w:b/>
          <w:bCs/>
        </w:rPr>
        <w:t xml:space="preserve">Bénéfice : </w:t>
      </w:r>
      <w:r>
        <w:t xml:space="preserve">économie immédiate de </w:t>
      </w:r>
      <w:r>
        <w:rPr>
          <w:b/>
          <w:bCs/>
        </w:rPr>
        <w:t xml:space="preserve">35 000 TND (30,4 %)</w:t>
      </w:r>
      <w:r>
        <w:t xml:space="preserve"> et étalement du principal sur 5 ans, soit </w:t>
      </w:r>
      <w:r>
        <w:rPr>
          <w:b/>
          <w:bCs/>
        </w:rPr>
        <w:t xml:space="preserve">~4 000 TND par trimestre</w:t>
      </w:r>
      <w:r>
        <w:t xml:space="preserve">.</w:t>
      </w:r>
    </w:p>
    <w:p>
      <w:pPr>
        <w:pStyle w:val="Heading2"/>
        <w:spacing w:after="140" w:before="280"/>
      </w:pPr>
      <w:r>
        <w:t xml:space="preserve">6.2 Cas n°2 — Profession libérale avec déclarations IRPP omises</w:t>
      </w:r>
    </w:p>
    <w:p>
      <w:pPr>
        <w:spacing w:after="120" w:line="300"/>
        <w:jc w:val="both"/>
      </w:pPr>
      <w:r>
        <w:rPr>
          <w:b/>
          <w:bCs/>
        </w:rPr>
        <w:t xml:space="preserve">Situation : </w:t>
      </w:r>
      <w:r>
        <w:t xml:space="preserve">Un consultant indépendant n'a pas déposé ses déclarations IRPP des exercices 2022 et 2023 (échues avant le 31 octobre 2025). Impôt principal cumulé estimé : 18 000 TND. Pénalités de retard (CDPF art. 81, 82, 85) : 7 500 TND.</w:t>
      </w:r>
    </w:p>
    <w:p>
      <w:pPr>
        <w:spacing w:after="80"/>
      </w:pPr>
      <w:r>
        <w:t xml:space="preserve"/>
      </w:r>
    </w:p>
    <w:tbl>
      <w:tblPr>
        <w:tblW w:type="dxa" w:w="8400"/>
        <w:tblBorders>
          <w:top w:val="single" w:color="auto" w:sz="4"/>
          <w:left w:val="single" w:color="auto" w:sz="4"/>
          <w:bottom w:val="single" w:color="auto" w:sz="4"/>
          <w:right w:val="single" w:color="auto" w:sz="4"/>
          <w:insideH w:val="single" w:color="auto" w:sz="4"/>
          <w:insideV w:val="single" w:color="auto" w:sz="4"/>
        </w:tblBorders>
      </w:tblPr>
      <w:tblGrid>
        <w:gridCol w:w="2800"/>
        <w:gridCol w:w="2800"/>
        <w:gridCol w:w="2800"/>
      </w:tblGrid>
      <w:tr>
        <w:trPr>
          <w:tblHeader/>
        </w:trPr>
        <w:tc>
          <w:tcPr>
            <w:tcW w:type="dxa" w:w="28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Élément</w:t>
            </w:r>
          </w:p>
        </w:tc>
        <w:tc>
          <w:tcPr>
            <w:tcW w:type="dxa" w:w="28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Sans amnistie</w:t>
            </w:r>
          </w:p>
        </w:tc>
        <w:tc>
          <w:tcPr>
            <w:tcW w:type="dxa" w:w="28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Avec amnistie 2026</w:t>
            </w:r>
          </w:p>
        </w:tc>
      </w:tr>
      <w:tr>
        <w:tc>
          <w:tcPr>
            <w:tcW w:type="dxa" w:w="2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Principal IRPP 2022-2023</w:t>
            </w:r>
          </w:p>
        </w:tc>
        <w:tc>
          <w:tcPr>
            <w:tcW w:type="dxa" w:w="2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18 000 TND</w:t>
            </w:r>
          </w:p>
        </w:tc>
        <w:tc>
          <w:tcPr>
            <w:tcW w:type="dxa" w:w="2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18 000 TND</w:t>
            </w:r>
          </w:p>
        </w:tc>
      </w:tr>
      <w:tr>
        <w:tc>
          <w:tcPr>
            <w:tcW w:type="dxa" w:w="28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Pénalités de retard CDPF</w:t>
            </w:r>
          </w:p>
        </w:tc>
        <w:tc>
          <w:tcPr>
            <w:tcW w:type="dxa" w:w="28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7 500 TND</w:t>
            </w:r>
          </w:p>
        </w:tc>
        <w:tc>
          <w:tcPr>
            <w:tcW w:type="dxa" w:w="28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0 TND</w:t>
            </w:r>
          </w:p>
        </w:tc>
      </w:tr>
      <w:tr>
        <w:tc>
          <w:tcPr>
            <w:tcW w:type="dxa" w:w="2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Total à régler</w:t>
            </w:r>
          </w:p>
        </w:tc>
        <w:tc>
          <w:tcPr>
            <w:tcW w:type="dxa" w:w="2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25 500 TND</w:t>
            </w:r>
          </w:p>
        </w:tc>
        <w:tc>
          <w:tcPr>
            <w:tcW w:type="dxa" w:w="2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18 000 TND</w:t>
            </w:r>
          </w:p>
        </w:tc>
      </w:tr>
      <w:tr>
        <w:tc>
          <w:tcPr>
            <w:tcW w:type="dxa" w:w="28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Économie réalisée</w:t>
            </w:r>
          </w:p>
        </w:tc>
        <w:tc>
          <w:tcPr>
            <w:tcW w:type="dxa" w:w="28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w:t>
            </w:r>
          </w:p>
        </w:tc>
        <w:tc>
          <w:tcPr>
            <w:tcW w:type="dxa" w:w="28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7 500 TND (29,4 %)</w:t>
            </w:r>
          </w:p>
        </w:tc>
      </w:tr>
      <w:tr>
        <w:tc>
          <w:tcPr>
            <w:tcW w:type="dxa" w:w="2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Délai d'action</w:t>
            </w:r>
          </w:p>
        </w:tc>
        <w:tc>
          <w:tcPr>
            <w:tcW w:type="dxa" w:w="2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Risque accru de contrôle</w:t>
            </w:r>
          </w:p>
        </w:tc>
        <w:tc>
          <w:tcPr>
            <w:tcW w:type="dxa" w:w="2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Jusqu'au 30 septembre 2026</w:t>
            </w:r>
          </w:p>
        </w:tc>
      </w:tr>
    </w:tbl>
    <w:p>
      <w:pPr>
        <w:spacing w:after="80"/>
      </w:pPr>
      <w:r>
        <w:t xml:space="preserve"/>
      </w:r>
    </w:p>
    <w:p>
      <w:pPr>
        <w:pStyle w:val="Heading2"/>
        <w:spacing w:after="140" w:before="280"/>
      </w:pPr>
      <w:r>
        <w:t xml:space="preserve">6.3 Cas n°3 — Société industrielle avec infractions administratives</w:t>
      </w:r>
    </w:p>
    <w:p>
      <w:pPr>
        <w:spacing w:after="120" w:line="300"/>
        <w:jc w:val="both"/>
      </w:pPr>
      <w:r>
        <w:rPr>
          <w:b/>
          <w:bCs/>
        </w:rPr>
        <w:t xml:space="preserve">Situation : </w:t>
      </w:r>
      <w:r>
        <w:t xml:space="preserve">Une société industrielle a accumulé 50 000 TND de pénalités administratives pour défauts de retenue à la source et manquements déclaratifs constatés en 2024. Frais de poursuite : 4 000 TND.</w:t>
      </w:r>
    </w:p>
    <w:p>
      <w:pPr>
        <w:spacing w:after="80"/>
      </w:pPr>
      <w:r>
        <w:t xml:space="preserve"/>
      </w:r>
    </w:p>
    <w:tbl>
      <w:tblPr>
        <w:tblW w:type="dxa" w:w="8400"/>
        <w:tblBorders>
          <w:top w:val="single" w:color="auto" w:sz="4"/>
          <w:left w:val="single" w:color="auto" w:sz="4"/>
          <w:bottom w:val="single" w:color="auto" w:sz="4"/>
          <w:right w:val="single" w:color="auto" w:sz="4"/>
          <w:insideH w:val="single" w:color="auto" w:sz="4"/>
          <w:insideV w:val="single" w:color="auto" w:sz="4"/>
        </w:tblBorders>
      </w:tblPr>
      <w:tblGrid>
        <w:gridCol w:w="2800"/>
        <w:gridCol w:w="2800"/>
        <w:gridCol w:w="2800"/>
      </w:tblGrid>
      <w:tr>
        <w:trPr>
          <w:tblHeader/>
        </w:trPr>
        <w:tc>
          <w:tcPr>
            <w:tcW w:type="dxa" w:w="28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Option</w:t>
            </w:r>
          </w:p>
        </w:tc>
        <w:tc>
          <w:tcPr>
            <w:tcW w:type="dxa" w:w="28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Montant à payer</w:t>
            </w:r>
          </w:p>
        </w:tc>
        <w:tc>
          <w:tcPr>
            <w:tcW w:type="dxa" w:w="28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Échéance</w:t>
            </w:r>
          </w:p>
        </w:tc>
      </w:tr>
      <w:tr>
        <w:tc>
          <w:tcPr>
            <w:tcW w:type="dxa" w:w="2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Sans amnistie</w:t>
            </w:r>
          </w:p>
        </w:tc>
        <w:tc>
          <w:tcPr>
            <w:tcW w:type="dxa" w:w="2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54 000 TND</w:t>
            </w:r>
          </w:p>
        </w:tc>
        <w:tc>
          <w:tcPr>
            <w:tcW w:type="dxa" w:w="2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Exigible immédiatement</w:t>
            </w:r>
          </w:p>
        </w:tc>
      </w:tr>
      <w:tr>
        <w:tc>
          <w:tcPr>
            <w:tcW w:type="dxa" w:w="28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Amnistie — paiement unique</w:t>
            </w:r>
          </w:p>
        </w:tc>
        <w:tc>
          <w:tcPr>
            <w:tcW w:type="dxa" w:w="28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27 000 TND (50 %)</w:t>
            </w:r>
          </w:p>
        </w:tc>
        <w:tc>
          <w:tcPr>
            <w:tcW w:type="dxa" w:w="28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Au plus tard 30 juin 2026</w:t>
            </w:r>
          </w:p>
        </w:tc>
      </w:tr>
      <w:tr>
        <w:tc>
          <w:tcPr>
            <w:tcW w:type="dxa" w:w="2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Amnistie — étalement 5 ans</w:t>
            </w:r>
          </w:p>
        </w:tc>
        <w:tc>
          <w:tcPr>
            <w:tcW w:type="dxa" w:w="2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27 000 TND répartis</w:t>
            </w:r>
          </w:p>
        </w:tc>
        <w:tc>
          <w:tcPr>
            <w:tcW w:type="dxa" w:w="2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20 tranches de ~1 350 TND</w:t>
            </w:r>
          </w:p>
        </w:tc>
      </w:tr>
      <w:tr>
        <w:tc>
          <w:tcPr>
            <w:tcW w:type="dxa" w:w="28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Économie maximale</w:t>
            </w:r>
          </w:p>
        </w:tc>
        <w:tc>
          <w:tcPr>
            <w:tcW w:type="dxa" w:w="28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27 000 TND (50 %)</w:t>
            </w:r>
          </w:p>
        </w:tc>
        <w:tc>
          <w:tcPr>
            <w:tcW w:type="dxa" w:w="28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w:t>
            </w:r>
          </w:p>
        </w:tc>
      </w:tr>
    </w:tbl>
    <w:p>
      <w:pPr>
        <w:spacing w:after="80"/>
      </w:pPr>
      <w:r>
        <w:t xml:space="preserve"/>
      </w:r>
    </w:p>
    <w:p>
      <w:pPr>
        <w:spacing w:after="120" w:line="300"/>
        <w:jc w:val="both"/>
      </w:pPr>
      <w:r>
        <w:rPr>
          <w:b/>
          <w:bCs/>
          <w:color w:val="01696F"/>
        </w:rPr>
        <w:t xml:space="preserve">Enseignement : </w:t>
      </w:r>
      <w:r>
        <w:t xml:space="preserve">le paiement accéléré ne procure pas d'avantage supplémentaire par rapport à l'étalement dans le cas des infractions administratives — les 50 % sont acquis quelle que soit l'option. La société a donc intérêt à privilégier l'étalement pour préserver sa trésorerie.</w:t>
      </w:r>
    </w:p>
    <w:p>
      <w:pPr>
        <w:pStyle w:val="Heading1"/>
        <w:pageBreakBefore/>
        <w:spacing w:after="200" w:before="240"/>
      </w:pPr>
      <w:r>
        <w:t xml:space="preserve">7. Comparaison avec les amnisties précédentes</w:t>
      </w:r>
    </w:p>
    <w:p>
      <w:pPr>
        <w:pStyle w:val="Heading2"/>
        <w:spacing w:after="140" w:before="280"/>
      </w:pPr>
      <w:r>
        <w:t xml:space="preserve">7.1 Évolution des dispositifs depuis 2017</w:t>
      </w:r>
    </w:p>
    <w:p>
      <w:pPr>
        <w:spacing w:after="120" w:line="300"/>
        <w:jc w:val="both"/>
      </w:pPr>
      <w:r>
        <w:t xml:space="preserve">La Tunisie a institué six amnisties fiscales successives au cours de la dernière décennie, témoignant à la fois de la pression budgétaire chronique et de la difficulté structurelle à recouvrer l'impôt par les voies ordinaires.</w:t>
      </w:r>
    </w:p>
    <w:p>
      <w:pPr>
        <w:spacing w:after="80"/>
      </w:pPr>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200"/>
        <w:gridCol w:w="2400"/>
        <w:gridCol w:w="5400"/>
      </w:tblGrid>
      <w:tr>
        <w:trPr>
          <w:tblHeader/>
        </w:trPr>
        <w:tc>
          <w:tcPr>
            <w:tcW w:type="dxa" w:w="12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Année</w:t>
            </w:r>
          </w:p>
        </w:tc>
        <w:tc>
          <w:tcPr>
            <w:tcW w:type="dxa" w:w="24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Texte de référence</w:t>
            </w:r>
          </w:p>
        </w:tc>
        <w:tc>
          <w:tcPr>
            <w:tcW w:type="dxa" w:w="54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Particularité distinctive</w:t>
            </w:r>
          </w:p>
        </w:tc>
      </w:tr>
      <w:tr>
        <w:tc>
          <w:tcPr>
            <w:tcW w:type="dxa" w:w="1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2017</w:t>
            </w:r>
          </w:p>
        </w:tc>
        <w:tc>
          <w:tcPr>
            <w:tcW w:type="dxa" w:w="24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Loi de finances complémentaire</w:t>
            </w:r>
          </w:p>
        </w:tc>
        <w:tc>
          <w:tcPr>
            <w:tcW w:type="dxa" w:w="54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Première amnistie large couvrant les arriérés et infractions</w:t>
            </w:r>
          </w:p>
        </w:tc>
      </w:tr>
      <w:tr>
        <w:tc>
          <w:tcPr>
            <w:tcW w:type="dxa" w:w="12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2019</w:t>
            </w:r>
          </w:p>
        </w:tc>
        <w:tc>
          <w:tcPr>
            <w:tcW w:type="dxa" w:w="24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Loi de finances 2019</w:t>
            </w:r>
          </w:p>
        </w:tc>
        <w:tc>
          <w:tcPr>
            <w:tcW w:type="dxa" w:w="54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Inclusion des taxes de circulation</w:t>
            </w:r>
          </w:p>
        </w:tc>
      </w:tr>
      <w:tr>
        <w:tc>
          <w:tcPr>
            <w:tcW w:type="dxa" w:w="1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2021</w:t>
            </w:r>
          </w:p>
        </w:tc>
        <w:tc>
          <w:tcPr>
            <w:tcW w:type="dxa" w:w="24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Loi de finances 2021</w:t>
            </w:r>
          </w:p>
        </w:tc>
        <w:tc>
          <w:tcPr>
            <w:tcW w:type="dxa" w:w="54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Réintroduction post-COVID avec étalement allongé</w:t>
            </w:r>
          </w:p>
        </w:tc>
      </w:tr>
      <w:tr>
        <w:tc>
          <w:tcPr>
            <w:tcW w:type="dxa" w:w="12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2022</w:t>
            </w:r>
          </w:p>
        </w:tc>
        <w:tc>
          <w:tcPr>
            <w:tcW w:type="dxa" w:w="24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Articles 66 et 67 LF 2022</w:t>
            </w:r>
          </w:p>
        </w:tc>
        <w:tc>
          <w:tcPr>
            <w:tcW w:type="dxa" w:w="54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Régularisation des sommes provenant d'activités non déclarées</w:t>
            </w:r>
          </w:p>
        </w:tc>
      </w:tr>
      <w:tr>
        <w:tc>
          <w:tcPr>
            <w:tcW w:type="dxa" w:w="1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2024</w:t>
            </w:r>
          </w:p>
        </w:tc>
        <w:tc>
          <w:tcPr>
            <w:tcW w:type="dxa" w:w="24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Article 58 LF 2024</w:t>
            </w:r>
          </w:p>
        </w:tc>
        <w:tc>
          <w:tcPr>
            <w:tcW w:type="dxa" w:w="54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Abandon 100 % pour amendes ≤ 100 TND ; abandon vignettes 2020-2022</w:t>
            </w:r>
          </w:p>
        </w:tc>
      </w:tr>
      <w:tr>
        <w:tc>
          <w:tcPr>
            <w:tcW w:type="dxa" w:w="12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2025</w:t>
            </w:r>
          </w:p>
        </w:tc>
        <w:tc>
          <w:tcPr>
            <w:tcW w:type="dxa" w:w="24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Article 74 LF 2025</w:t>
            </w:r>
          </w:p>
        </w:tc>
        <w:tc>
          <w:tcPr>
            <w:tcW w:type="dxa" w:w="54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Continuité du dispositif 2024 ; entrée en vigueur 2 janvier 2025</w:t>
            </w:r>
          </w:p>
        </w:tc>
      </w:tr>
      <w:tr>
        <w:tc>
          <w:tcPr>
            <w:tcW w:type="dxa" w:w="1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2026</w:t>
            </w:r>
          </w:p>
        </w:tc>
        <w:tc>
          <w:tcPr>
            <w:tcW w:type="dxa" w:w="24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Article 69 LF 2026</w:t>
            </w:r>
          </w:p>
        </w:tc>
        <w:tc>
          <w:tcPr>
            <w:tcW w:type="dxa" w:w="54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Élargissement du périmètre, intégration explicite du contentieux d'assiette</w:t>
            </w:r>
          </w:p>
        </w:tc>
      </w:tr>
    </w:tbl>
    <w:p>
      <w:pPr>
        <w:spacing w:after="80"/>
      </w:pPr>
      <w:r>
        <w:t xml:space="preserve"/>
      </w:r>
    </w:p>
    <w:p>
      <w:pPr>
        <w:pStyle w:val="Heading2"/>
        <w:spacing w:after="140" w:before="280"/>
      </w:pPr>
      <w:r>
        <w:t xml:space="preserve">7.2 Comparaison ciblée 2024 / 2025 / 2026</w:t>
      </w:r>
    </w:p>
    <w:p>
      <w:pPr>
        <w:spacing w:after="80"/>
      </w:pPr>
      <w:r>
        <w:t xml:space="preserve"/>
      </w:r>
    </w:p>
    <w:tbl>
      <w:tblPr>
        <w:tblW w:type="dxa" w:w="8700"/>
        <w:tblBorders>
          <w:top w:val="single" w:color="auto" w:sz="4"/>
          <w:left w:val="single" w:color="auto" w:sz="4"/>
          <w:bottom w:val="single" w:color="auto" w:sz="4"/>
          <w:right w:val="single" w:color="auto" w:sz="4"/>
          <w:insideH w:val="single" w:color="auto" w:sz="4"/>
          <w:insideV w:val="single" w:color="auto" w:sz="4"/>
        </w:tblBorders>
      </w:tblPr>
      <w:tblGrid>
        <w:gridCol w:w="2400"/>
        <w:gridCol w:w="2100"/>
        <w:gridCol w:w="2100"/>
        <w:gridCol w:w="2100"/>
      </w:tblGrid>
      <w:tr>
        <w:trPr>
          <w:tblHeader/>
        </w:trPr>
        <w:tc>
          <w:tcPr>
            <w:tcW w:type="dxa" w:w="24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Caractéristique</w:t>
            </w:r>
          </w:p>
        </w:tc>
        <w:tc>
          <w:tcPr>
            <w:tcW w:type="dxa" w:w="21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Amnistie 2024</w:t>
            </w:r>
          </w:p>
        </w:tc>
        <w:tc>
          <w:tcPr>
            <w:tcW w:type="dxa" w:w="21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Amnistie 2025</w:t>
            </w:r>
          </w:p>
        </w:tc>
        <w:tc>
          <w:tcPr>
            <w:tcW w:type="dxa" w:w="21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Amnistie 2026</w:t>
            </w:r>
          </w:p>
        </w:tc>
      </w:tr>
      <w:tr>
        <w:tc>
          <w:tcPr>
            <w:tcW w:type="dxa" w:w="24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Référence légale</w:t>
            </w:r>
          </w:p>
        </w:tc>
        <w:tc>
          <w:tcPr>
            <w:tcW w:type="dxa" w:w="21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Article 58 LF 2024</w:t>
            </w:r>
          </w:p>
        </w:tc>
        <w:tc>
          <w:tcPr>
            <w:tcW w:type="dxa" w:w="21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Article 74 LF 2025</w:t>
            </w:r>
          </w:p>
        </w:tc>
        <w:tc>
          <w:tcPr>
            <w:tcW w:type="dxa" w:w="21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Article 69 LF 2026</w:t>
            </w:r>
          </w:p>
        </w:tc>
      </w:tr>
      <w:tr>
        <w:tc>
          <w:tcPr>
            <w:tcW w:type="dxa" w:w="24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Abandon créances constatées</w:t>
            </w:r>
          </w:p>
        </w:tc>
        <w:tc>
          <w:tcPr>
            <w:tcW w:type="dxa" w:w="21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100 % pénalités</w:t>
            </w:r>
          </w:p>
        </w:tc>
        <w:tc>
          <w:tcPr>
            <w:tcW w:type="dxa" w:w="21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100 % pénalités</w:t>
            </w:r>
          </w:p>
        </w:tc>
        <w:tc>
          <w:tcPr>
            <w:tcW w:type="dxa" w:w="21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100 % pénalités</w:t>
            </w:r>
          </w:p>
        </w:tc>
      </w:tr>
      <w:tr>
        <w:tc>
          <w:tcPr>
            <w:tcW w:type="dxa" w:w="24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Abandon infractions admin.</w:t>
            </w:r>
          </w:p>
        </w:tc>
        <w:tc>
          <w:tcPr>
            <w:tcW w:type="dxa" w:w="21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50 % (100 % si ≤ 100 TND)</w:t>
            </w:r>
          </w:p>
        </w:tc>
        <w:tc>
          <w:tcPr>
            <w:tcW w:type="dxa" w:w="21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50 %</w:t>
            </w:r>
          </w:p>
        </w:tc>
        <w:tc>
          <w:tcPr>
            <w:tcW w:type="dxa" w:w="21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50 %</w:t>
            </w:r>
          </w:p>
        </w:tc>
      </w:tr>
      <w:tr>
        <w:tc>
          <w:tcPr>
            <w:tcW w:type="dxa" w:w="24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Vignettes (taxe circulation)</w:t>
            </w:r>
          </w:p>
        </w:tc>
        <w:tc>
          <w:tcPr>
            <w:tcW w:type="dxa" w:w="21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Oui (2020-2022)</w:t>
            </w:r>
          </w:p>
        </w:tc>
        <w:tc>
          <w:tcPr>
            <w:tcW w:type="dxa" w:w="21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Non</w:t>
            </w:r>
          </w:p>
        </w:tc>
        <w:tc>
          <w:tcPr>
            <w:tcW w:type="dxa" w:w="21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Oui (selon LF 2026)</w:t>
            </w:r>
          </w:p>
        </w:tc>
      </w:tr>
      <w:tr>
        <w:tc>
          <w:tcPr>
            <w:tcW w:type="dxa" w:w="24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Durée maximale étalement</w:t>
            </w:r>
          </w:p>
        </w:tc>
        <w:tc>
          <w:tcPr>
            <w:tcW w:type="dxa" w:w="21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5 ans</w:t>
            </w:r>
          </w:p>
        </w:tc>
        <w:tc>
          <w:tcPr>
            <w:tcW w:type="dxa" w:w="21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5 ans</w:t>
            </w:r>
          </w:p>
        </w:tc>
        <w:tc>
          <w:tcPr>
            <w:tcW w:type="dxa" w:w="21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5 ans</w:t>
            </w:r>
          </w:p>
        </w:tc>
      </w:tr>
      <w:tr>
        <w:tc>
          <w:tcPr>
            <w:tcW w:type="dxa" w:w="24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Date butoir 1ère tranche</w:t>
            </w:r>
          </w:p>
        </w:tc>
        <w:tc>
          <w:tcPr>
            <w:tcW w:type="dxa" w:w="21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30 juin 2024</w:t>
            </w:r>
          </w:p>
        </w:tc>
        <w:tc>
          <w:tcPr>
            <w:tcW w:type="dxa" w:w="21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30 juin 2025</w:t>
            </w:r>
          </w:p>
        </w:tc>
        <w:tc>
          <w:tcPr>
            <w:tcW w:type="dxa" w:w="21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30 juin 2026</w:t>
            </w:r>
          </w:p>
        </w:tc>
      </w:tr>
      <w:tr>
        <w:tc>
          <w:tcPr>
            <w:tcW w:type="dxa" w:w="24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Échéance déclarations</w:t>
            </w:r>
          </w:p>
        </w:tc>
        <w:tc>
          <w:tcPr>
            <w:tcW w:type="dxa" w:w="21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30 avril 2024</w:t>
            </w:r>
          </w:p>
        </w:tc>
        <w:tc>
          <w:tcPr>
            <w:tcW w:type="dxa" w:w="21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20 juin 2025</w:t>
            </w:r>
          </w:p>
        </w:tc>
        <w:tc>
          <w:tcPr>
            <w:tcW w:type="dxa" w:w="21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30 septembre 2026</w:t>
            </w:r>
          </w:p>
        </w:tc>
      </w:tr>
    </w:tbl>
    <w:p>
      <w:pPr>
        <w:spacing w:after="80"/>
      </w:pPr>
      <w:r>
        <w:t xml:space="preserve"/>
      </w:r>
    </w:p>
    <w:p>
      <w:pPr>
        <w:spacing w:after="120" w:line="300"/>
        <w:jc w:val="both"/>
      </w:pPr>
      <w:r>
        <w:rPr>
          <w:b/>
          <w:bCs/>
        </w:rPr>
        <w:t xml:space="preserve">Évolution clé : </w:t>
      </w:r>
      <w:r>
        <w:t xml:space="preserve">l'amnistie 2026 offre la </w:t>
      </w:r>
      <w:r>
        <w:rPr>
          <w:b/>
          <w:bCs/>
        </w:rPr>
        <w:t xml:space="preserve">fenêtre de régularisation la plus longue</w:t>
      </w:r>
      <w:r>
        <w:t xml:space="preserve"> (9 mois pour les déclarations, contre 4-6 mois auparavant), traduisant la volonté de l'État de maximiser l'effet de capture des contribuables irréguliers.</w:t>
      </w:r>
    </w:p>
    <w:p>
      <w:pPr>
        <w:pStyle w:val="Heading2"/>
        <w:spacing w:after="140" w:before="280"/>
      </w:pPr>
      <w:r>
        <w:t xml:space="preserve">7.3 Critiques et limites</w:t>
      </w:r>
    </w:p>
    <w:p>
      <w:pPr>
        <w:spacing w:after="120" w:line="300"/>
        <w:jc w:val="both"/>
      </w:pPr>
      <w:r>
        <w:t xml:space="preserve">La récurrence des amnisties suscite des critiques persistantes de la société civile et des observateurs économiques. L'Observatoire tunisien de l'économie soulignait dès 2024 le risque d'un </w:t>
      </w:r>
      <w:r>
        <w:rPr>
          <w:b/>
          <w:bCs/>
        </w:rPr>
        <w:t xml:space="preserve">affaiblissement du système fiscal</w:t>
      </w:r>
      <w:r>
        <w:t xml:space="preserve"> et d'une </w:t>
      </w:r>
      <w:r>
        <w:rPr>
          <w:b/>
          <w:bCs/>
        </w:rPr>
        <w:t xml:space="preserve">érosion de la confiance des contribuables </w:t>
      </w:r>
      <w:r>
        <w:t xml:space="preserve">respectueux de leurs obligations</w:t>
      </w:r>
      <w:r>
        <w:rPr>
          <w:rStyle w:val="FootnoteReference"/>
        </w:rPr>
        <w:footnoteReference w:id="8"/>
      </w:r>
      <w:r>
        <w:t xml:space="preserve">.</w:t>
      </w:r>
    </w:p>
    <w:p>
      <w:pPr>
        <w:pStyle w:val="ListParagraph"/>
        <w:numPr>
          <w:ilvl w:val="0"/>
          <w:numId w:val="2"/>
        </w:numPr>
        <w:spacing w:after="80" w:line="280"/>
        <w:jc w:val="both"/>
      </w:pPr>
      <w:r>
        <w:t xml:space="preserve">Aléa moral : la promesse implicite d'amnisties futures peut décourager le civisme fiscal.</w:t>
      </w:r>
    </w:p>
    <w:p>
      <w:pPr>
        <w:pStyle w:val="ListParagraph"/>
        <w:numPr>
          <w:ilvl w:val="0"/>
          <w:numId w:val="2"/>
        </w:numPr>
        <w:spacing w:after="80" w:line="280"/>
        <w:jc w:val="both"/>
      </w:pPr>
      <w:r>
        <w:t xml:space="preserve">Iniquité perçue : les contribuables ponctuels supportent l'intégralité de leurs obligations sans bénéfice équivalent.</w:t>
      </w:r>
    </w:p>
    <w:p>
      <w:pPr>
        <w:pStyle w:val="ListParagraph"/>
        <w:numPr>
          <w:ilvl w:val="0"/>
          <w:numId w:val="2"/>
        </w:numPr>
        <w:spacing w:after="80" w:line="280"/>
        <w:jc w:val="both"/>
      </w:pPr>
      <w:r>
        <w:t xml:space="preserve">Effet de stock vs flux : l'amnistie résorbe le passif mais n'élargit pas durablement l'assiette fiscale.</w:t>
      </w:r>
    </w:p>
    <w:p>
      <w:pPr>
        <w:pStyle w:val="ListParagraph"/>
        <w:numPr>
          <w:ilvl w:val="0"/>
          <w:numId w:val="2"/>
        </w:numPr>
        <w:spacing w:after="80" w:line="280"/>
        <w:jc w:val="both"/>
      </w:pPr>
      <w:r>
        <w:t xml:space="preserve">Absence de publication des recettes effectivement encaissées au titre des amnisties précédentes, limitant l'évaluation de l'efficacité.</w:t>
      </w:r>
    </w:p>
    <w:p>
      <w:pPr>
        <w:pStyle w:val="Heading1"/>
        <w:pageBreakBefore/>
        <w:spacing w:after="200" w:before="240"/>
      </w:pPr>
      <w:r>
        <w:t xml:space="preserve">8. Mesures connexes de la loi de finances 2026</w:t>
      </w:r>
    </w:p>
    <w:p>
      <w:pPr>
        <w:spacing w:after="120" w:line="300"/>
        <w:jc w:val="both"/>
      </w:pPr>
      <w:r>
        <w:t xml:space="preserve">L'amnistie fiscale ne peut être analysée isolément. Plusieurs dispositions parallèles de la loi de finances 2026 modifient l'environnement fiscal du contribuable et doivent être prises en considération dans toute stratégie de régularisation.</w:t>
      </w:r>
    </w:p>
    <w:p>
      <w:pPr>
        <w:pStyle w:val="Heading2"/>
        <w:spacing w:after="140" w:before="280"/>
      </w:pPr>
      <w:r>
        <w:t xml:space="preserve">8.1 Contribution permanente IS de 4 %</w:t>
      </w:r>
    </w:p>
    <w:p>
      <w:pPr>
        <w:spacing w:after="120" w:line="300"/>
        <w:jc w:val="both"/>
      </w:pPr>
      <w:r>
        <w:t xml:space="preserve">Création d'une contribution permanente de 4 % sur les bénéfices des banques, établissements financiers (loi 2016-48), entreprises d'assurance et de réassurance (y compris takaful), opérateurs de télécommunications et concessionnaires automobiles. Minimum annuel : 10 000 TND. Non déductible de l'IS. Recettes affectées au compte de diversification des sources de la sécurité sociale.</w:t>
      </w:r>
    </w:p>
    <w:p>
      <w:pPr>
        <w:pStyle w:val="Heading2"/>
        <w:spacing w:after="140" w:before="280"/>
      </w:pPr>
      <w:r>
        <w:t xml:space="preserve">8.2 Contribution Sociale de Solidarité (CSS) 2026</w:t>
      </w:r>
    </w:p>
    <w:p>
      <w:pPr>
        <w:spacing w:after="80"/>
      </w:pPr>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200"/>
        <w:gridCol w:w="2400"/>
        <w:gridCol w:w="2400"/>
      </w:tblGrid>
      <w:tr>
        <w:trPr>
          <w:tblHeader/>
        </w:trPr>
        <w:tc>
          <w:tcPr>
            <w:tcW w:type="dxa" w:w="42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Catégorie de contribuable</w:t>
            </w:r>
          </w:p>
        </w:tc>
        <w:tc>
          <w:tcPr>
            <w:tcW w:type="dxa" w:w="24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Taux CSS</w:t>
            </w:r>
          </w:p>
        </w:tc>
        <w:tc>
          <w:tcPr>
            <w:tcW w:type="dxa" w:w="24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Minimum dû</w:t>
            </w:r>
          </w:p>
        </w:tc>
      </w:tr>
      <w:tr>
        <w:tc>
          <w:tcPr>
            <w:tcW w:type="dxa" w:w="4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Personnes morales — IS 40 % / 35 %</w:t>
            </w:r>
          </w:p>
        </w:tc>
        <w:tc>
          <w:tcPr>
            <w:tcW w:type="dxa" w:w="24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4 %</w:t>
            </w:r>
          </w:p>
        </w:tc>
        <w:tc>
          <w:tcPr>
            <w:tcW w:type="dxa" w:w="24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500 TND</w:t>
            </w:r>
          </w:p>
        </w:tc>
      </w:tr>
      <w:tr>
        <w:tc>
          <w:tcPr>
            <w:tcW w:type="dxa" w:w="42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Personnes morales — IS 20 %</w:t>
            </w:r>
          </w:p>
        </w:tc>
        <w:tc>
          <w:tcPr>
            <w:tcW w:type="dxa" w:w="24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3 %</w:t>
            </w:r>
          </w:p>
        </w:tc>
        <w:tc>
          <w:tcPr>
            <w:tcW w:type="dxa" w:w="24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400 TND</w:t>
            </w:r>
          </w:p>
        </w:tc>
      </w:tr>
      <w:tr>
        <w:tc>
          <w:tcPr>
            <w:tcW w:type="dxa" w:w="4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Personnes morales — IS 10 %</w:t>
            </w:r>
          </w:p>
        </w:tc>
        <w:tc>
          <w:tcPr>
            <w:tcW w:type="dxa" w:w="24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3 %</w:t>
            </w:r>
          </w:p>
        </w:tc>
        <w:tc>
          <w:tcPr>
            <w:tcW w:type="dxa" w:w="24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200 TND</w:t>
            </w:r>
          </w:p>
        </w:tc>
      </w:tr>
      <w:tr>
        <w:tc>
          <w:tcPr>
            <w:tcW w:type="dxa" w:w="42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Sociétés exonérées / déduction totale</w:t>
            </w:r>
          </w:p>
        </w:tc>
        <w:tc>
          <w:tcPr>
            <w:tcW w:type="dxa" w:w="24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0 %</w:t>
            </w:r>
          </w:p>
        </w:tc>
        <w:tc>
          <w:tcPr>
            <w:tcW w:type="dxa" w:w="24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400 TND</w:t>
            </w:r>
          </w:p>
        </w:tc>
      </w:tr>
      <w:tr>
        <w:tc>
          <w:tcPr>
            <w:tcW w:type="dxa" w:w="4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Personnes physiques au barème IRPP</w:t>
            </w:r>
          </w:p>
        </w:tc>
        <w:tc>
          <w:tcPr>
            <w:tcW w:type="dxa" w:w="24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0,5 %</w:t>
            </w:r>
          </w:p>
        </w:tc>
        <w:tc>
          <w:tcPr>
            <w:tcW w:type="dxa" w:w="24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w:t>
            </w:r>
          </w:p>
        </w:tc>
      </w:tr>
      <w:tr>
        <w:tc>
          <w:tcPr>
            <w:tcW w:type="dxa" w:w="42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Personnes physiques — revenu net ≤ 5 000 TND</w:t>
            </w:r>
          </w:p>
        </w:tc>
        <w:tc>
          <w:tcPr>
            <w:tcW w:type="dxa" w:w="24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0 %</w:t>
            </w:r>
          </w:p>
        </w:tc>
        <w:tc>
          <w:tcPr>
            <w:tcW w:type="dxa" w:w="24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w:t>
            </w:r>
          </w:p>
        </w:tc>
      </w:tr>
    </w:tbl>
    <w:p>
      <w:pPr>
        <w:spacing w:after="80"/>
      </w:pPr>
      <w:r>
        <w:t xml:space="preserve"/>
      </w:r>
    </w:p>
    <w:p>
      <w:pPr>
        <w:pStyle w:val="Heading2"/>
        <w:spacing w:after="140" w:before="280"/>
      </w:pPr>
      <w:r>
        <w:t xml:space="preserve">8.3 Réforme de l'impôt sur la fortune (ISF)</w:t>
      </w:r>
    </w:p>
    <w:p>
      <w:pPr>
        <w:spacing w:after="80"/>
      </w:pPr>
      <w:r>
        <w:t xml:space="preserve"/>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2600"/>
        <w:gridCol w:w="3000"/>
        <w:gridCol w:w="3000"/>
      </w:tblGrid>
      <w:tr>
        <w:trPr>
          <w:tblHeader/>
        </w:trPr>
        <w:tc>
          <w:tcPr>
            <w:tcW w:type="dxa" w:w="26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Caractéristique</w:t>
            </w:r>
          </w:p>
        </w:tc>
        <w:tc>
          <w:tcPr>
            <w:tcW w:type="dxa" w:w="30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Régime ancien (LF 2023)</w:t>
            </w:r>
          </w:p>
        </w:tc>
        <w:tc>
          <w:tcPr>
            <w:tcW w:type="dxa" w:w="30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Nouveau régime (LF 2026)</w:t>
            </w:r>
          </w:p>
        </w:tc>
      </w:tr>
      <w:tr>
        <w:tc>
          <w:tcPr>
            <w:tcW w:type="dxa" w:w="26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Seuil d'imposition</w:t>
            </w:r>
          </w:p>
        </w:tc>
        <w:tc>
          <w:tcPr>
            <w:tcW w:type="dxa" w:w="30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Valeur ≥ 3 MDT</w:t>
            </w:r>
          </w:p>
        </w:tc>
        <w:tc>
          <w:tcPr>
            <w:tcW w:type="dxa" w:w="30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Valeur ≥ 5 MDT</w:t>
            </w:r>
          </w:p>
        </w:tc>
      </w:tr>
      <w:tr>
        <w:tc>
          <w:tcPr>
            <w:tcW w:type="dxa" w:w="26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Nature des biens</w:t>
            </w:r>
          </w:p>
        </w:tc>
        <w:tc>
          <w:tcPr>
            <w:tcW w:type="dxa" w:w="30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Biens immobiliers uniquement</w:t>
            </w:r>
          </w:p>
        </w:tc>
        <w:tc>
          <w:tcPr>
            <w:tcW w:type="dxa" w:w="30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Biens immobiliers et mobiliers</w:t>
            </w:r>
          </w:p>
        </w:tc>
      </w:tr>
      <w:tr>
        <w:tc>
          <w:tcPr>
            <w:tcW w:type="dxa" w:w="26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Taux</w:t>
            </w:r>
          </w:p>
        </w:tc>
        <w:tc>
          <w:tcPr>
            <w:tcW w:type="dxa" w:w="30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Taux unique de 0,5 %</w:t>
            </w:r>
          </w:p>
        </w:tc>
        <w:tc>
          <w:tcPr>
            <w:tcW w:type="dxa" w:w="30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0,5 % (3 à 5 MDT) / 1 % (au-delà)</w:t>
            </w:r>
          </w:p>
        </w:tc>
      </w:tr>
      <w:tr>
        <w:tc>
          <w:tcPr>
            <w:tcW w:type="dxa" w:w="26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Délai de déclaration</w:t>
            </w:r>
          </w:p>
        </w:tc>
        <w:tc>
          <w:tcPr>
            <w:tcW w:type="dxa" w:w="30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w:t>
            </w:r>
          </w:p>
        </w:tc>
        <w:tc>
          <w:tcPr>
            <w:tcW w:type="dxa" w:w="30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Au plus tard le 30 juin de chaque année</w:t>
            </w:r>
          </w:p>
        </w:tc>
      </w:tr>
    </w:tbl>
    <w:p>
      <w:pPr>
        <w:spacing w:after="80"/>
      </w:pPr>
      <w:r>
        <w:t xml:space="preserve"/>
      </w:r>
    </w:p>
    <w:p>
      <w:pPr>
        <w:spacing w:after="120" w:line="300"/>
        <w:jc w:val="both"/>
      </w:pPr>
      <w:r>
        <w:rPr>
          <w:b/>
          <w:bCs/>
        </w:rPr>
        <w:t xml:space="preserve">Exonérations : </w:t>
      </w:r>
      <w:r>
        <w:t xml:space="preserve">habitation principale et mobilier afférent, biens à usage professionnel, fonds de commerce exploités, véhicules non utilitaires ≤ 12 CV, fonds déposés auprès des banques et de la Poste tunisienne.</w:t>
      </w:r>
    </w:p>
    <w:p>
      <w:pPr>
        <w:pStyle w:val="Heading2"/>
        <w:spacing w:after="140" w:before="280"/>
      </w:pPr>
      <w:r>
        <w:t xml:space="preserve">8.4 Comptes en devises pour résidents tunisiens</w:t>
      </w:r>
    </w:p>
    <w:p>
      <w:pPr>
        <w:spacing w:after="120" w:line="300"/>
        <w:jc w:val="both"/>
      </w:pPr>
      <w:r>
        <w:t xml:space="preserve">Possibilité nouvelle pour les personnes physiques résidentes de nationalité tunisienne d'ouvrir des comptes en devises convertibles sans autorisation préalable de la BCT. Les intérêts perçus sont imposés au taux réduit de 0,01 %.</w:t>
      </w:r>
    </w:p>
    <w:p>
      <w:pPr>
        <w:pStyle w:val="Heading2"/>
        <w:spacing w:after="140" w:before="280"/>
      </w:pPr>
      <w:r>
        <w:t xml:space="preserve">8.5 Facturation électronique généralisée</w:t>
      </w:r>
    </w:p>
    <w:p>
      <w:pPr>
        <w:spacing w:after="120" w:line="300"/>
        <w:jc w:val="both"/>
      </w:pPr>
      <w:r>
        <w:t xml:space="preserve">Obligation explicite d'intégration de l'ensemble des opérations de prestation de services dans le dispositif de e-facture. La facture papier ou PDF non conforme au schéma e-facture n'est plus suffisante pour les obligations fiscales. Les sanctions de droit commun (défaut de facture, non-conformité) s'appliquent.</w:t>
      </w:r>
    </w:p>
    <w:p>
      <w:pPr>
        <w:pStyle w:val="Heading2"/>
        <w:spacing w:after="140" w:before="280"/>
      </w:pPr>
      <w:r>
        <w:t xml:space="preserve">8.6 Prise en charge dégressive CNSS pour recrutements</w:t>
      </w:r>
    </w:p>
    <w:p>
      <w:pPr>
        <w:spacing w:after="120" w:line="300"/>
        <w:jc w:val="both"/>
      </w:pPr>
      <w:r>
        <w:t xml:space="preserve">Pour les recrutements de diplômés de l'enseignement supérieur à compter du 1er janvier 2026, l'État prend en charge la cotisation patronale CNSS de manière dégressive : 100 % la première année, 80 % la deuxième, 60 % la troisième, 40 % la quatrième et 20 % la cinquième année.</w:t>
      </w:r>
    </w:p>
    <w:p>
      <w:pPr>
        <w:pStyle w:val="Heading1"/>
        <w:pageBreakBefore/>
        <w:spacing w:after="200" w:before="240"/>
      </w:pPr>
      <w:r>
        <w:t xml:space="preserve">9. Recommandations stratégiques</w:t>
      </w:r>
    </w:p>
    <w:p>
      <w:pPr>
        <w:pStyle w:val="Heading2"/>
        <w:spacing w:after="140" w:before="280"/>
      </w:pPr>
      <w:r>
        <w:t xml:space="preserve">9.1 Pour les PME et entreprises</w:t>
      </w:r>
    </w:p>
    <w:p>
      <w:pPr>
        <w:pStyle w:val="ListParagraph"/>
        <w:numPr>
          <w:ilvl w:val="0"/>
          <w:numId w:val="2"/>
        </w:numPr>
        <w:spacing w:after="80" w:line="280"/>
        <w:jc w:val="both"/>
      </w:pPr>
      <w:r>
        <w:t xml:space="preserve">Mandater un expert-comptable pour réaliser un audit fiscal exhaustif avant fin mai 2026 et identifier l'intégralité des créances et infractions éligibles.</w:t>
      </w:r>
    </w:p>
    <w:p>
      <w:pPr>
        <w:pStyle w:val="ListParagraph"/>
        <w:numPr>
          <w:ilvl w:val="0"/>
          <w:numId w:val="2"/>
        </w:numPr>
        <w:spacing w:after="80" w:line="280"/>
        <w:jc w:val="both"/>
      </w:pPr>
      <w:r>
        <w:t xml:space="preserve">Modéliser plusieurs scénarios de trésorerie (paiement immédiat vs étalement 5 ans) avant de s'engager.</w:t>
      </w:r>
    </w:p>
    <w:p>
      <w:pPr>
        <w:pStyle w:val="ListParagraph"/>
        <w:numPr>
          <w:ilvl w:val="0"/>
          <w:numId w:val="2"/>
        </w:numPr>
        <w:spacing w:after="80" w:line="280"/>
        <w:jc w:val="both"/>
      </w:pPr>
      <w:r>
        <w:t xml:space="preserve">Privilégier l'étalement sur 5 ans lorsque le coût d'opportunité de la trésorerie est élevé, surtout dans un contexte de taux d'intérêt bancaires élevés.</w:t>
      </w:r>
    </w:p>
    <w:p>
      <w:pPr>
        <w:pStyle w:val="ListParagraph"/>
        <w:numPr>
          <w:ilvl w:val="0"/>
          <w:numId w:val="2"/>
        </w:numPr>
        <w:spacing w:after="80" w:line="280"/>
        <w:jc w:val="both"/>
      </w:pPr>
      <w:r>
        <w:t xml:space="preserve">Profiter de l'amnistie pour assainir le bilan : la régularisation améliore les ratios financiers et facilite l'accès au financement bancaire et aux marchés publics.</w:t>
      </w:r>
    </w:p>
    <w:p>
      <w:pPr>
        <w:pStyle w:val="ListParagraph"/>
        <w:numPr>
          <w:ilvl w:val="0"/>
          <w:numId w:val="2"/>
        </w:numPr>
        <w:spacing w:after="80" w:line="280"/>
        <w:jc w:val="both"/>
      </w:pPr>
      <w:r>
        <w:t xml:space="preserve">Combiner régularisation fiscale et mise en conformité e-facture pour éviter de futures sanctions.</w:t>
      </w:r>
    </w:p>
    <w:p>
      <w:pPr>
        <w:pStyle w:val="Heading2"/>
        <w:spacing w:after="140" w:before="280"/>
      </w:pPr>
      <w:r>
        <w:t xml:space="preserve">9.2 Pour les professions libérales</w:t>
      </w:r>
    </w:p>
    <w:p>
      <w:pPr>
        <w:pStyle w:val="ListParagraph"/>
        <w:numPr>
          <w:ilvl w:val="0"/>
          <w:numId w:val="2"/>
        </w:numPr>
        <w:spacing w:after="80" w:line="280"/>
        <w:jc w:val="both"/>
      </w:pPr>
      <w:r>
        <w:t xml:space="preserve">Vérifier en priorité les déclarations IRPP, TVA et retenues à la source des exercices clos avant le 31 octobre 2025.</w:t>
      </w:r>
    </w:p>
    <w:p>
      <w:pPr>
        <w:pStyle w:val="ListParagraph"/>
        <w:numPr>
          <w:ilvl w:val="0"/>
          <w:numId w:val="2"/>
        </w:numPr>
        <w:spacing w:after="80" w:line="280"/>
        <w:jc w:val="both"/>
      </w:pPr>
      <w:r>
        <w:t xml:space="preserve">Profiter de la fenêtre étendue (jusqu'au 30 septembre 2026) pour régulariser sereinement.</w:t>
      </w:r>
    </w:p>
    <w:p>
      <w:pPr>
        <w:pStyle w:val="ListParagraph"/>
        <w:numPr>
          <w:ilvl w:val="0"/>
          <w:numId w:val="2"/>
        </w:numPr>
        <w:spacing w:after="80" w:line="280"/>
        <w:jc w:val="both"/>
      </w:pPr>
      <w:r>
        <w:t xml:space="preserve">Ne pas attendre la fin du délai : les flux de trésorerie de l'État peuvent générer une congestion administrative en septembre 2026.</w:t>
      </w:r>
    </w:p>
    <w:p>
      <w:pPr>
        <w:pStyle w:val="ListParagraph"/>
        <w:numPr>
          <w:ilvl w:val="0"/>
          <w:numId w:val="2"/>
        </w:numPr>
        <w:spacing w:after="80" w:line="280"/>
        <w:jc w:val="both"/>
      </w:pPr>
      <w:r>
        <w:t xml:space="preserve">Documenter rigoureusement les justificatifs de revenus pour fiabiliser les déclarations rectificatives et limiter le risque de contrôle ultérieur.</w:t>
      </w:r>
    </w:p>
    <w:p>
      <w:pPr>
        <w:pStyle w:val="Heading2"/>
        <w:spacing w:after="140" w:before="280"/>
      </w:pPr>
      <w:r>
        <w:t xml:space="preserve">9.3 Pour les particuliers contribuables</w:t>
      </w:r>
    </w:p>
    <w:p>
      <w:pPr>
        <w:pStyle w:val="ListParagraph"/>
        <w:numPr>
          <w:ilvl w:val="0"/>
          <w:numId w:val="2"/>
        </w:numPr>
        <w:spacing w:after="80" w:line="280"/>
        <w:jc w:val="both"/>
      </w:pPr>
      <w:r>
        <w:t xml:space="preserve">Vérifier l'état des taxes de circulation (vignettes) impayées et profiter de l'éventuel abandon des droits.</w:t>
      </w:r>
    </w:p>
    <w:p>
      <w:pPr>
        <w:pStyle w:val="ListParagraph"/>
        <w:numPr>
          <w:ilvl w:val="0"/>
          <w:numId w:val="2"/>
        </w:numPr>
        <w:spacing w:after="80" w:line="280"/>
        <w:jc w:val="both"/>
      </w:pPr>
      <w:r>
        <w:t xml:space="preserve">Régulariser les déclarations IRPP en défaut, en particulier pour les revenus fonciers, mobiliers et professionnels non déclarés.</w:t>
      </w:r>
    </w:p>
    <w:p>
      <w:pPr>
        <w:pStyle w:val="ListParagraph"/>
        <w:numPr>
          <w:ilvl w:val="0"/>
          <w:numId w:val="2"/>
        </w:numPr>
        <w:spacing w:after="80" w:line="280"/>
        <w:jc w:val="both"/>
      </w:pPr>
      <w:r>
        <w:t xml:space="preserve">Pour les détenteurs de patrimoine supérieur à 5 MDT : intégrer la nouvelle déclaration ISF dans le calendrier annuel (échéance 30 juin).</w:t>
      </w:r>
    </w:p>
    <w:p>
      <w:pPr>
        <w:pStyle w:val="Heading2"/>
        <w:spacing w:after="140" w:before="280"/>
      </w:pPr>
      <w:r>
        <w:t xml:space="preserve">9.4 Pour les experts-comptables et conseils</w:t>
      </w:r>
    </w:p>
    <w:p>
      <w:pPr>
        <w:pStyle w:val="ListParagraph"/>
        <w:numPr>
          <w:ilvl w:val="0"/>
          <w:numId w:val="2"/>
        </w:numPr>
        <w:spacing w:after="80" w:line="280"/>
        <w:jc w:val="both"/>
      </w:pPr>
      <w:r>
        <w:t xml:space="preserve">Diffuser proactivement l'information auprès du portefeuille clients : nombreux contribuables ignorent l'existence ou les modalités du dispositif.</w:t>
      </w:r>
    </w:p>
    <w:p>
      <w:pPr>
        <w:pStyle w:val="ListParagraph"/>
        <w:numPr>
          <w:ilvl w:val="0"/>
          <w:numId w:val="2"/>
        </w:numPr>
        <w:spacing w:after="80" w:line="280"/>
        <w:jc w:val="both"/>
      </w:pPr>
      <w:r>
        <w:t xml:space="preserve">Industrialiser les diagnostics fiscaux via des outils digitalisés pour absorber le pic d'activité prévisible entre avril et septembre 2026.</w:t>
      </w:r>
    </w:p>
    <w:p>
      <w:pPr>
        <w:pStyle w:val="ListParagraph"/>
        <w:numPr>
          <w:ilvl w:val="0"/>
          <w:numId w:val="2"/>
        </w:numPr>
        <w:spacing w:after="80" w:line="280"/>
        <w:jc w:val="both"/>
      </w:pPr>
      <w:r>
        <w:t xml:space="preserve">Documenter chaque dossier de régularisation pour limiter le risque de remise en cause ultérieure (annulation rétroactive du droit à l'amnistie en cas de défaillance).</w:t>
      </w:r>
    </w:p>
    <w:p>
      <w:pPr>
        <w:pStyle w:val="ListParagraph"/>
        <w:numPr>
          <w:ilvl w:val="0"/>
          <w:numId w:val="2"/>
        </w:numPr>
        <w:spacing w:after="80" w:line="280"/>
        <w:jc w:val="both"/>
      </w:pPr>
      <w:r>
        <w:t xml:space="preserve">Sensibiliser sur les exclusions et les sanctions : un client mal accompagné peut perdre rétroactivement le bénéfice de l'amnistie.</w:t>
      </w:r>
    </w:p>
    <w:p>
      <w:pPr>
        <w:pStyle w:val="Heading1"/>
        <w:pageBreakBefore/>
        <w:spacing w:after="200" w:before="240"/>
      </w:pPr>
      <w:r>
        <w:t xml:space="preserve">10. Conclusion et perspectives</w:t>
      </w:r>
    </w:p>
    <w:p>
      <w:pPr>
        <w:spacing w:after="120" w:line="300"/>
        <w:jc w:val="both"/>
      </w:pPr>
      <w:r>
        <w:t xml:space="preserve">L'amnistie fiscale 2026, instituée par l'article 69 de la loi de finances pour 2026, représente l'un des dispositifs de régularisation les plus structurés et étendus jamais proposés en Tunisie. Avec un calendrier de paiement pouvant aller jusqu'à 5 ans, un périmètre couvrant les trois grandes catégories d'irrégularités fiscales et des avantages substantiels (jusqu'à 100 % d'abandon des pénalités), il offre une fenêtre d'opportunité réelle pour les contribuables en situation irrégulière.</w:t>
      </w:r>
    </w:p>
    <w:p>
      <w:pPr>
        <w:spacing w:after="120" w:line="300"/>
        <w:jc w:val="both"/>
      </w:pPr>
      <w:r>
        <w:t xml:space="preserve">Toutefois, ce dispositif est aussi le sixième de son genre en moins d'une décennie. La question de fond demeure : </w:t>
      </w:r>
      <w:r>
        <w:rPr>
          <w:b/>
          <w:bCs/>
        </w:rPr>
        <w:t xml:space="preserve">l'amnistie est-elle un outil ponctuel de réconciliation fiscale ou un palliatif structurel </w:t>
      </w:r>
      <w:r>
        <w:t xml:space="preserve">à un système de recouvrement défaillant ? L'enjeu pour la Tunisie est désormais de capitaliser sur les recettes attendues de cette amnistie pour engager des réformes structurelles plus profondes : modernisation de l'administration fiscale, digitalisation complète (e-facture, e-déclaration), élargissement de l'assiette par la réintégration progressive de l'économie informelle, et stabilisation du cadre législatif pour restaurer la confiance des investisseurs et contribuables</w:t>
      </w:r>
      <w:r>
        <w:rPr>
          <w:rStyle w:val="FootnoteReference"/>
        </w:rPr>
        <w:footnoteReference w:id="7"/>
      </w:r>
      <w:r>
        <w:t xml:space="preserve">.</w:t>
      </w:r>
    </w:p>
    <w:p>
      <w:pPr>
        <w:pStyle w:val="Heading3"/>
        <w:spacing w:after="100" w:before="220"/>
      </w:pPr>
      <w:r>
        <w:t xml:space="preserve">Trois pistes prospectives</w:t>
      </w:r>
    </w:p>
    <w:p>
      <w:pPr>
        <w:pStyle w:val="ListParagraph"/>
        <w:numPr>
          <w:ilvl w:val="0"/>
          <w:numId w:val="2"/>
        </w:numPr>
        <w:spacing w:after="80" w:line="280"/>
        <w:jc w:val="both"/>
      </w:pPr>
      <w:r>
        <w:t xml:space="preserve">Mesurer l'efficacité : publier les recettes effectivement encaissées au titre de l'amnistie 2026 pour évaluer objectivement le dispositif.</w:t>
      </w:r>
    </w:p>
    <w:p>
      <w:pPr>
        <w:pStyle w:val="ListParagraph"/>
        <w:numPr>
          <w:ilvl w:val="0"/>
          <w:numId w:val="2"/>
        </w:numPr>
        <w:spacing w:after="80" w:line="280"/>
        <w:jc w:val="both"/>
      </w:pPr>
      <w:r>
        <w:t xml:space="preserve">Stabiliser pour durer : éviter une amnistie 2027 qui validerait l'aléa moral et achèverait d'éroder le civisme fiscal.</w:t>
      </w:r>
    </w:p>
    <w:p>
      <w:pPr>
        <w:pStyle w:val="ListParagraph"/>
        <w:numPr>
          <w:ilvl w:val="0"/>
          <w:numId w:val="2"/>
        </w:numPr>
        <w:spacing w:after="80" w:line="280"/>
        <w:jc w:val="both"/>
      </w:pPr>
      <w:r>
        <w:t xml:space="preserve">Investir dans l'administration fiscale : digitaliser, former, contrôler — pour que la pression fiscale repose sur l'équité plutôt que sur des cycles d'amnisties.</w:t>
      </w:r>
    </w:p>
    <w:p>
      <w:pPr>
        <w:spacing w:after="80"/>
      </w:pPr>
      <w:r>
        <w:t xml:space="preserve"/>
      </w:r>
    </w:p>
    <w:p>
      <w:pPr>
        <w:spacing w:after="120" w:line="300"/>
        <w:jc w:val="both"/>
      </w:pPr>
      <w:r>
        <w:rPr>
          <w:b/>
          <w:bCs/>
          <w:color w:val="01696F"/>
        </w:rPr>
        <w:t xml:space="preserve">En définitive</w:t>
      </w:r>
      <w:r>
        <w:t xml:space="preserve">, l'amnistie fiscale 2026 constitue une opportunité tangible et bornée dans le temps. Les contribuables, leurs conseils et l'administration disposent d'une fenêtre limitée — du 1er janvier au 30 septembre 2026 — pour transformer cette mesure en succès partagé. La rigueur du diagnostic, la qualité du conseil et le respect des engagements de paiement constitueront les clefs de réussite individuelle. La transparence sur les résultats et l'engagement vers des réformes structurelles seront, eux, les conditions du succès collectif.</w:t>
      </w:r>
    </w:p>
    <w:p>
      <w:pPr>
        <w:pStyle w:val="Heading1"/>
        <w:pageBreakBefore/>
        <w:spacing w:after="200" w:before="240"/>
      </w:pPr>
      <w:r>
        <w:t xml:space="preserve">Annexes</w:t>
      </w:r>
    </w:p>
    <w:p>
      <w:pPr>
        <w:pStyle w:val="Heading2"/>
        <w:spacing w:after="140" w:before="280"/>
      </w:pPr>
      <w:r>
        <w:t xml:space="preserve">Annexe A — Glossaire des termes fiscaux</w:t>
      </w:r>
    </w:p>
    <w:p>
      <w:pPr>
        <w:spacing w:after="80"/>
      </w:pPr>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00"/>
        <w:gridCol w:w="6800"/>
      </w:tblGrid>
      <w:tr>
        <w:trPr>
          <w:tblHeader/>
        </w:trPr>
        <w:tc>
          <w:tcPr>
            <w:tcW w:type="dxa" w:w="22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Terme</w:t>
            </w:r>
          </w:p>
        </w:tc>
        <w:tc>
          <w:tcPr>
            <w:tcW w:type="dxa" w:w="6800"/>
            <w:tcBorders>
              <w:top w:val="single" w:color="D4D1CA" w:sz="4"/>
              <w:left w:val="single" w:color="D4D1CA" w:sz="4"/>
              <w:bottom w:val="single" w:color="D4D1CA" w:sz="4"/>
              <w:right w:val="single" w:color="D4D1CA" w:sz="4"/>
            </w:tcBorders>
            <w:shd w:fill="01696F" w:val="clear"/>
            <w:tcMar>
              <w:top w:type="dxa" w:w="100"/>
              <w:left w:type="dxa" w:w="140"/>
              <w:bottom w:type="dxa" w:w="100"/>
              <w:right w:type="dxa" w:w="140"/>
            </w:tcMar>
            <w:vAlign w:val="center"/>
          </w:tcPr>
          <w:p>
            <w:pPr>
              <w:spacing w:after="0" w:line="260"/>
            </w:pPr>
            <w:r>
              <w:rPr>
                <w:b/>
                <w:bCs/>
                <w:color w:val="FFFFFF"/>
                <w:sz w:val="20"/>
                <w:szCs w:val="20"/>
              </w:rPr>
              <w:t xml:space="preserve">Définition</w:t>
            </w:r>
          </w:p>
        </w:tc>
      </w:tr>
      <w:tr>
        <w:tc>
          <w:tcPr>
            <w:tcW w:type="dxa" w:w="2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CDPF</w:t>
            </w:r>
          </w:p>
        </w:tc>
        <w:tc>
          <w:tcPr>
            <w:tcW w:type="dxa" w:w="6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Code des Droits et Procédures Fiscaux. Texte régissant les droits et obligations des contribuables et de l'administration fiscale en Tunisie.</w:t>
            </w:r>
          </w:p>
        </w:tc>
      </w:tr>
      <w:tr>
        <w:tc>
          <w:tcPr>
            <w:tcW w:type="dxa" w:w="22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DGELF</w:t>
            </w:r>
          </w:p>
        </w:tc>
        <w:tc>
          <w:tcPr>
            <w:tcW w:type="dxa" w:w="68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Direction Générale des Études et de la Législation Fiscales, organe du ministère des Finances chargé de l'interprétation et de la diffusion de la doctrine fiscale.</w:t>
            </w:r>
          </w:p>
        </w:tc>
      </w:tr>
      <w:tr>
        <w:tc>
          <w:tcPr>
            <w:tcW w:type="dxa" w:w="2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Pénalité de contrôle</w:t>
            </w:r>
          </w:p>
        </w:tc>
        <w:tc>
          <w:tcPr>
            <w:tcW w:type="dxa" w:w="6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Sanction appliquée à l'issue d'une vérification fiscale, ajoutée au principal de l'impôt redressé.</w:t>
            </w:r>
          </w:p>
        </w:tc>
      </w:tr>
      <w:tr>
        <w:tc>
          <w:tcPr>
            <w:tcW w:type="dxa" w:w="22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Pénalité de recouvrement</w:t>
            </w:r>
          </w:p>
        </w:tc>
        <w:tc>
          <w:tcPr>
            <w:tcW w:type="dxa" w:w="68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Pénalité appliquée pour défaut de paiement dans les délais légaux, calculée sur le principal dû.</w:t>
            </w:r>
          </w:p>
        </w:tc>
      </w:tr>
      <w:tr>
        <w:tc>
          <w:tcPr>
            <w:tcW w:type="dxa" w:w="2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Frais de poursuite</w:t>
            </w:r>
          </w:p>
        </w:tc>
        <w:tc>
          <w:tcPr>
            <w:tcW w:type="dxa" w:w="6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Frais engagés par l'administration pour le recouvrement forcé (avis à tiers détenteur, saisies, ventes).</w:t>
            </w:r>
          </w:p>
        </w:tc>
      </w:tr>
      <w:tr>
        <w:tc>
          <w:tcPr>
            <w:tcW w:type="dxa" w:w="22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Conciliation</w:t>
            </w:r>
          </w:p>
        </w:tc>
        <w:tc>
          <w:tcPr>
            <w:tcW w:type="dxa" w:w="68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Procédure amiable de résolution d'un contentieux fiscal entre le contribuable et l'administration avant taxation d'office.</w:t>
            </w:r>
          </w:p>
        </w:tc>
      </w:tr>
      <w:tr>
        <w:tc>
          <w:tcPr>
            <w:tcW w:type="dxa" w:w="2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Taxation d'office</w:t>
            </w:r>
          </w:p>
        </w:tc>
        <w:tc>
          <w:tcPr>
            <w:tcW w:type="dxa" w:w="6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Procédure de redressement unilatérale par l'administration en cas d'absence ou d'irrégularité des déclarations.</w:t>
            </w:r>
          </w:p>
        </w:tc>
      </w:tr>
      <w:tr>
        <w:tc>
          <w:tcPr>
            <w:tcW w:type="dxa" w:w="22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IRPP</w:t>
            </w:r>
          </w:p>
        </w:tc>
        <w:tc>
          <w:tcPr>
            <w:tcW w:type="dxa" w:w="68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Impôt sur le Revenu des Personnes Physiques.</w:t>
            </w:r>
          </w:p>
        </w:tc>
      </w:tr>
      <w:tr>
        <w:tc>
          <w:tcPr>
            <w:tcW w:type="dxa" w:w="2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IS</w:t>
            </w:r>
          </w:p>
        </w:tc>
        <w:tc>
          <w:tcPr>
            <w:tcW w:type="dxa" w:w="6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Impôt sur les Sociétés.</w:t>
            </w:r>
          </w:p>
        </w:tc>
      </w:tr>
      <w:tr>
        <w:tc>
          <w:tcPr>
            <w:tcW w:type="dxa" w:w="22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CSS</w:t>
            </w:r>
          </w:p>
        </w:tc>
        <w:tc>
          <w:tcPr>
            <w:tcW w:type="dxa" w:w="6800"/>
            <w:tcBorders>
              <w:top w:val="single" w:color="D4D1CA" w:sz="4"/>
              <w:left w:val="single" w:color="D4D1CA" w:sz="4"/>
              <w:bottom w:val="single" w:color="D4D1CA" w:sz="4"/>
              <w:right w:val="single" w:color="D4D1CA" w:sz="4"/>
            </w:tcBorders>
            <w:shd w:fill="FFFFFF" w:val="clear"/>
            <w:tcMar>
              <w:top w:type="dxa" w:w="100"/>
              <w:left w:type="dxa" w:w="140"/>
              <w:bottom w:type="dxa" w:w="100"/>
              <w:right w:type="dxa" w:w="140"/>
            </w:tcMar>
            <w:vAlign w:val="center"/>
          </w:tcPr>
          <w:p>
            <w:pPr>
              <w:spacing w:after="0" w:line="260"/>
            </w:pPr>
            <w:r>
              <w:rPr>
                <w:sz w:val="20"/>
                <w:szCs w:val="20"/>
              </w:rPr>
              <w:t xml:space="preserve">Contribution Sociale de Solidarité.</w:t>
            </w:r>
          </w:p>
        </w:tc>
      </w:tr>
      <w:tr>
        <w:tc>
          <w:tcPr>
            <w:tcW w:type="dxa" w:w="22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JORT</w:t>
            </w:r>
          </w:p>
        </w:tc>
        <w:tc>
          <w:tcPr>
            <w:tcW w:type="dxa" w:w="6800"/>
            <w:tcBorders>
              <w:top w:val="single" w:color="D4D1CA" w:sz="4"/>
              <w:left w:val="single" w:color="D4D1CA" w:sz="4"/>
              <w:bottom w:val="single" w:color="D4D1CA" w:sz="4"/>
              <w:right w:val="single" w:color="D4D1CA" w:sz="4"/>
            </w:tcBorders>
            <w:shd w:fill="F7F6F2" w:val="clear"/>
            <w:tcMar>
              <w:top w:type="dxa" w:w="100"/>
              <w:left w:type="dxa" w:w="140"/>
              <w:bottom w:type="dxa" w:w="100"/>
              <w:right w:type="dxa" w:w="140"/>
            </w:tcMar>
            <w:vAlign w:val="center"/>
          </w:tcPr>
          <w:p>
            <w:pPr>
              <w:spacing w:after="0" w:line="260"/>
            </w:pPr>
            <w:r>
              <w:rPr>
                <w:sz w:val="20"/>
                <w:szCs w:val="20"/>
              </w:rPr>
              <w:t xml:space="preserve">Journal Officiel de la République Tunisienne.</w:t>
            </w:r>
          </w:p>
        </w:tc>
      </w:tr>
    </w:tbl>
    <w:p>
      <w:pPr>
        <w:pStyle w:val="Heading2"/>
        <w:spacing w:after="140" w:before="280"/>
      </w:pPr>
      <w:r>
        <w:t xml:space="preserve">Annexe B — FAQ pratique</w:t>
      </w:r>
    </w:p>
    <w:p>
      <w:pPr>
        <w:pStyle w:val="Heading3"/>
        <w:spacing w:after="100" w:before="220"/>
      </w:pPr>
      <w:r>
        <w:t xml:space="preserve">Q1. Suis-je éligible si j'ai déjà signé un calendrier de paiement avec l'administration ?</w:t>
      </w:r>
    </w:p>
    <w:p>
      <w:pPr>
        <w:spacing w:after="120" w:line="300"/>
        <w:jc w:val="both"/>
      </w:pPr>
      <w:r>
        <w:t xml:space="preserve">Non. Les créances bénéficiant déjà d'un échéancier issu d'une procédure de régularisation antérieure (amnisties 2024 ou 2025) sont expressément exclues du dispositif 2026.</w:t>
      </w:r>
    </w:p>
    <w:p>
      <w:pPr>
        <w:pStyle w:val="Heading3"/>
        <w:spacing w:after="100" w:before="220"/>
      </w:pPr>
      <w:r>
        <w:t xml:space="preserve">Q2. Puis-je bénéficier de l'amnistie après le 30 juin 2026 ?</w:t>
      </w:r>
    </w:p>
    <w:p>
      <w:pPr>
        <w:spacing w:after="120" w:line="300"/>
        <w:jc w:val="both"/>
      </w:pPr>
      <w:r>
        <w:t xml:space="preserve">Pour les créances constatées et infractions administratives, le 30 juin 2026 est la date butoir absolue de souscription. Pour les déclarations omises ou rectificatives, le délai est étendu jusqu'au 30 septembre 2026.</w:t>
      </w:r>
    </w:p>
    <w:p>
      <w:pPr>
        <w:pStyle w:val="Heading3"/>
        <w:spacing w:after="100" w:before="220"/>
      </w:pPr>
      <w:r>
        <w:t xml:space="preserve">Q3. Que se passe-t-il si je ne respecte pas une échéance trimestrielle ?</w:t>
      </w:r>
    </w:p>
    <w:p>
      <w:pPr>
        <w:spacing w:after="120" w:line="300"/>
        <w:jc w:val="both"/>
      </w:pPr>
      <w:r>
        <w:t xml:space="preserve">Le manquement entraîne l'application d'une pénalité de retard de 1,25 % par mois et la reprise immédiate des procédures de recouvrement. Au-delà de 120 jours après la dernière échéance, le droit à l'amnistie est annulé rétroactivement et l'intégralité des sommes initiales (principal + pénalités complètes) redevient exigible.</w:t>
      </w:r>
    </w:p>
    <w:p>
      <w:pPr>
        <w:pStyle w:val="Heading3"/>
        <w:spacing w:after="100" w:before="220"/>
      </w:pPr>
      <w:r>
        <w:t xml:space="preserve">Q4. L'amnistie couvre-t-elle les amendes pénales et les chèques sans provision ?</w:t>
      </w:r>
    </w:p>
    <w:p>
      <w:pPr>
        <w:spacing w:after="120" w:line="300"/>
        <w:jc w:val="both"/>
      </w:pPr>
      <w:r>
        <w:t xml:space="preserve">Non. Conformément aux principes constants des amnisties tunisiennes, les sanctions pénales, les amendes liées aux chèques sans provision, au blanchiment d'argent et au terrorisme demeurent expressément exclues.</w:t>
      </w:r>
    </w:p>
    <w:p>
      <w:pPr>
        <w:pStyle w:val="Heading3"/>
        <w:spacing w:after="100" w:before="220"/>
      </w:pPr>
      <w:r>
        <w:t xml:space="preserve">Q5. Dois-je obligatoirement passer par un expert-comptable ?</w:t>
      </w:r>
    </w:p>
    <w:p>
      <w:pPr>
        <w:spacing w:after="120" w:line="300"/>
        <w:jc w:val="both"/>
      </w:pPr>
      <w:r>
        <w:t xml:space="preserve">Ce n'est pas une obligation légale, mais c'est vivement recommandé. La complexité du dispositif, la diversité des situations possibles et le coût d'une erreur (annulation rétroactive) justifient l'accompagnement par un professionnel.</w:t>
      </w:r>
    </w:p>
    <w:p>
      <w:pPr>
        <w:pStyle w:val="Heading3"/>
        <w:spacing w:after="100" w:before="220"/>
      </w:pPr>
      <w:r>
        <w:t xml:space="preserve">Q6. La régularisation me protège-t-elle d'un contrôle ultérieur ?</w:t>
      </w:r>
    </w:p>
    <w:p>
      <w:pPr>
        <w:spacing w:after="120" w:line="300"/>
        <w:jc w:val="both"/>
      </w:pPr>
      <w:r>
        <w:t xml:space="preserve">La régularisation porte sur les périodes et impôts visés par la déclaration ou la créance. Elle n'éteint pas le pouvoir de contrôle de l'administration sur d'autres périodes ou d'autres impôts non régularisés. Il est donc essentiel d'avoir une approche exhaustive du diagnostic.</w:t>
      </w:r>
    </w:p>
    <w:p>
      <w:pPr>
        <w:pStyle w:val="Heading2"/>
        <w:spacing w:after="140" w:before="280"/>
      </w:pPr>
      <w:r>
        <w:t xml:space="preserve">Annexe C — Coordonnées utiles</w:t>
      </w:r>
    </w:p>
    <w:p>
      <w:pPr>
        <w:pStyle w:val="ListParagraph"/>
        <w:numPr>
          <w:ilvl w:val="0"/>
          <w:numId w:val="2"/>
        </w:numPr>
        <w:spacing w:after="80" w:line="280"/>
        <w:jc w:val="both"/>
      </w:pPr>
      <w:r>
        <w:t xml:space="preserve">Ministère des Finances : Avenue Mohamed V, Tunis — Portail officiel : www.finances.gov.tn</w:t>
      </w:r>
    </w:p>
    <w:p>
      <w:pPr>
        <w:pStyle w:val="ListParagraph"/>
        <w:numPr>
          <w:ilvl w:val="0"/>
          <w:numId w:val="2"/>
        </w:numPr>
        <w:spacing w:after="80" w:line="280"/>
        <w:jc w:val="both"/>
      </w:pPr>
      <w:r>
        <w:t xml:space="preserve">Direction Générale des Impôts (DGI) — Centre des Grands Contribuables, Centres et Bureaux régionaux de contrôle des impôts.</w:t>
      </w:r>
    </w:p>
    <w:p>
      <w:pPr>
        <w:pStyle w:val="ListParagraph"/>
        <w:numPr>
          <w:ilvl w:val="0"/>
          <w:numId w:val="2"/>
        </w:numPr>
        <w:spacing w:after="80" w:line="280"/>
        <w:jc w:val="both"/>
      </w:pPr>
      <w:r>
        <w:t xml:space="preserve">Direction Générale de la Comptabilité Publique et du Recouvrement — Recettes des finances territorialement compétentes.</w:t>
      </w:r>
    </w:p>
    <w:p>
      <w:pPr>
        <w:pStyle w:val="ListParagraph"/>
        <w:numPr>
          <w:ilvl w:val="0"/>
          <w:numId w:val="2"/>
        </w:numPr>
        <w:spacing w:after="80" w:line="280"/>
        <w:jc w:val="both"/>
      </w:pPr>
      <w:r>
        <w:t xml:space="preserve">Ordre des Experts-Comptables de Tunisie (OECT) — Sousse et autres délégations régionales.</w:t>
      </w:r>
    </w:p>
    <w:p>
      <w:pPr>
        <w:pStyle w:val="ListParagraph"/>
        <w:numPr>
          <w:ilvl w:val="0"/>
          <w:numId w:val="2"/>
        </w:numPr>
        <w:spacing w:after="80" w:line="280"/>
        <w:jc w:val="both"/>
      </w:pPr>
      <w:r>
        <w:t xml:space="preserve">Chambre Nationale des Conseillers Fiscaux.</w:t>
      </w:r>
    </w:p>
    <w:p>
      <w:pPr>
        <w:pStyle w:val="Heading2"/>
        <w:spacing w:after="140" w:before="280"/>
      </w:pPr>
      <w:r>
        <w:t xml:space="preserve">Annexe D — Bibliographie et sources</w:t>
      </w:r>
    </w:p>
    <w:p>
      <w:pPr>
        <w:pStyle w:val="ListParagraph"/>
        <w:numPr>
          <w:ilvl w:val="0"/>
          <w:numId w:val="2"/>
        </w:numPr>
        <w:spacing w:after="80" w:line="280"/>
        <w:jc w:val="both"/>
      </w:pPr>
      <w:r>
        <w:t xml:space="preserve">Loi n°17 de 2025 du 12 décembre 2025 portant loi de finances pour l'année 2026 — JORT n°148.</w:t>
      </w:r>
    </w:p>
    <w:p>
      <w:pPr>
        <w:pStyle w:val="ListParagraph"/>
        <w:numPr>
          <w:ilvl w:val="0"/>
          <w:numId w:val="2"/>
        </w:numPr>
        <w:spacing w:after="80" w:line="280"/>
        <w:jc w:val="both"/>
      </w:pPr>
      <w:r>
        <w:t xml:space="preserve">Note explicative DGELF (mars 2026) — article 69 de la loi de finances 2026.</w:t>
      </w:r>
    </w:p>
    <w:p>
      <w:pPr>
        <w:pStyle w:val="ListParagraph"/>
        <w:numPr>
          <w:ilvl w:val="0"/>
          <w:numId w:val="2"/>
        </w:numPr>
        <w:spacing w:after="80" w:line="280"/>
        <w:jc w:val="both"/>
      </w:pPr>
      <w:r>
        <w:t xml:space="preserve">Code des Droits et Procédures Fiscaux (CDPF), articles 81, 82 et 85.</w:t>
      </w:r>
    </w:p>
    <w:p>
      <w:pPr>
        <w:spacing w:after="120" w:line="300"/>
        <w:jc w:val="both"/>
      </w:pPr>
      <w:r>
        <w:t xml:space="preserve">Pour les références complètes, voir les notes de bas de page de chaque section ainsi que les liens cliquables aux sources primaires et secondaires consultées (Deloitte, Tustex, Tuniscope, La Presse, Webmanagercenter, Lucapacioli, Exaco Audit, Observatoire tunisien de l'économie, FMI).</w:t>
      </w:r>
    </w:p>
    <w:p>
      <w:pPr>
        <w:pStyle w:val="Heading2"/>
        <w:spacing w:after="140" w:before="280"/>
      </w:pPr>
      <w:r>
        <w:t xml:space="preserve">Avertissement</w:t>
      </w:r>
    </w:p>
    <w:p>
      <w:pPr>
        <w:spacing w:after="120" w:line="300"/>
        <w:jc w:val="both"/>
      </w:pPr>
      <w:r>
        <w:rPr>
          <w:i/>
          <w:iCs/>
          <w:color w:val="7A7974"/>
        </w:rPr>
        <w:t xml:space="preserve">Le présent livre blanc est un document d'information générale rédigé à des fins pédagogiques et de vulgarisation. Il ne constitue ni un avis juridique, ni un conseil fiscal personnalisé. Les contribuables sont vivement invités à consulter un expert-comptable, un conseiller fiscal ou un avocat fiscaliste agréé pour toute décision relative à leur situation particulière. Les chiffres simulatoires présentés en section 6 sont fournis à titre illustratif et ne sauraient préjuger des cas réels. Les textes officiels (loi de finances 2026, notes DGELF, décrets d'application) prévalent en cas de divergence avec le contenu du présent document.</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7A7974"/>
        <w:sz w:val="18"/>
        <w:szCs w:val="18"/>
      </w:rPr>
      <w:t xml:space="preserve">Page </w:t>
    </w:r>
    <w:r>
      <w:rPr>
        <w:color w:val="7A7974"/>
        <w:sz w:val="18"/>
        <w:szCs w:val="18"/>
      </w:rPr>
      <w:fldChar w:fldCharType="begin"/>
      <w:instrText xml:space="preserve">PAGE</w:instrText>
      <w:fldChar w:fldCharType="separate"/>
      <w:fldChar w:fldCharType="end"/>
    </w:r>
    <w:r>
      <w:rPr>
        <w:color w:val="7A7974"/>
        <w:sz w:val="18"/>
        <w:szCs w:val="18"/>
      </w:rPr>
      <w:t xml:space="preserve"> / </w:t>
    </w:r>
    <w:r>
      <w:rPr>
        <w:color w:val="7A7974"/>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r>
        <w:rPr>
          <w:rStyle w:val="FootnoteReference"/>
        </w:rPr>
        <w:footnoteRef/>
      </w:r>
      <w:r>
        <w:t xml:space="preserve">Loi n°17 de 2025 du 12 décembre 2025 portant loi de finances pour 2026, JORT n°148 — </w:t>
      </w:r>
      <w:hyperlink w:history="1" r:id="rIdylcn-yle4hqjlweovzt09">
        <w:r>
          <w:rPr>
            <w:rStyle w:val="Hyperlink"/>
          </w:rPr>
          <w:t xml:space="preserve">https://www.lapresse.tn/2025/12/12/tunisie-publication-officielle-de-la-loi-de-finances-2026-au-jort/</w:t>
        </w:r>
      </w:hyperlink>
    </w:p>
  </w:footnote>
  <w:footnote w:id="2">
    <w:p>
      <w:r>
        <w:rPr>
          <w:rStyle w:val="FootnoteReference"/>
        </w:rPr>
        <w:footnoteRef/>
      </w:r>
      <w:r>
        <w:t xml:space="preserve">Webmanagercenter, « Amnistie fiscale 2026 en Tunisie : pénalités annulées et facilités de paiement jusqu'à 5 ans » — </w:t>
      </w:r>
      <w:hyperlink w:history="1" r:id="rIdh4am0ys0bkkt-1yr9uoje">
        <w:r>
          <w:rPr>
            <w:rStyle w:val="Hyperlink"/>
          </w:rPr>
          <w:t xml:space="preserve">https://www.webmanagercenter.com/2026/03/09/562884/amnistie-fiscale-2026-en-tunisie-penalites-annulees-et-facilites-de-paiement-jusqua-5-ans/</w:t>
        </w:r>
      </w:hyperlink>
    </w:p>
  </w:footnote>
  <w:footnote w:id="3">
    <w:p>
      <w:r>
        <w:rPr>
          <w:rStyle w:val="FootnoteReference"/>
        </w:rPr>
        <w:footnoteRef/>
      </w:r>
      <w:r>
        <w:t xml:space="preserve">Cabinet Lucapacioli, « Amnistie Fiscale 2026 Tunisie : Guide Complet &amp; Délais » — </w:t>
      </w:r>
      <w:hyperlink w:history="1" r:id="rIds8wrb_0ejcwvjeuacq9qp">
        <w:r>
          <w:rPr>
            <w:rStyle w:val="Hyperlink"/>
          </w:rPr>
          <w:t xml:space="preserve">https://lucapacioli.com.tn/fr/blog/amnistie-fiscale-2026-tunisie</w:t>
        </w:r>
      </w:hyperlink>
    </w:p>
  </w:footnote>
  <w:footnote w:id="4">
    <w:p>
      <w:r>
        <w:rPr>
          <w:rStyle w:val="FootnoteReference"/>
        </w:rPr>
        <w:footnoteRef/>
      </w:r>
      <w:r>
        <w:t xml:space="preserve">Tuniscope, « Impôts en Tunisie : L'Amnistie Fiscale 2026 annule vos pénalités » — </w:t>
      </w:r>
      <w:hyperlink w:history="1" r:id="rIdxvdz53qhn2u6cs94p6rhr">
        <w:r>
          <w:rPr>
            <w:rStyle w:val="Hyperlink"/>
          </w:rPr>
          <w:t xml:space="preserve">https://www.tuniscope.com/article/418880/business/economie/amnistie-fiscale-495020</w:t>
        </w:r>
      </w:hyperlink>
    </w:p>
  </w:footnote>
  <w:footnote w:id="5">
    <w:p>
      <w:r>
        <w:rPr>
          <w:rStyle w:val="FootnoteReference"/>
        </w:rPr>
        <w:footnoteRef/>
      </w:r>
      <w:r>
        <w:t xml:space="preserve">Deloitte Société d'Avocats, « Tunisie : les principales mesures de la Loi de Finances pour 2026 » — </w:t>
      </w:r>
      <w:hyperlink w:history="1" r:id="rIdw9ri7lumwfiuxdjjlfys1">
        <w:r>
          <w:rPr>
            <w:rStyle w:val="Hyperlink"/>
          </w:rPr>
          <w:t xml:space="preserve">https://blog.avocats.deloitte.fr/tunisie-les-principales-mesures-de-la-loi-de-finances-pour-2026/</w:t>
        </w:r>
      </w:hyperlink>
    </w:p>
  </w:footnote>
  <w:footnote w:id="6">
    <w:p>
      <w:r>
        <w:rPr>
          <w:rStyle w:val="FootnoteReference"/>
        </w:rPr>
        <w:footnoteRef/>
      </w:r>
      <w:r>
        <w:t xml:space="preserve">Webmanagercenter, « Loi de finances 2026 : budget, recettes, dépenses et financement du déficit » — </w:t>
      </w:r>
      <w:hyperlink w:history="1" r:id="rIdulkm484vfxng8aqhvbeqa">
        <w:r>
          <w:rPr>
            <w:rStyle w:val="Hyperlink"/>
          </w:rPr>
          <w:t xml:space="preserve">https://www.webmanagercenter.com/2025/12/15/557937/loi-de-finances-2026-comprendre-le-budget-recettes-depenses-et-financement-du-deficit/</w:t>
        </w:r>
      </w:hyperlink>
    </w:p>
  </w:footnote>
  <w:footnote w:id="7">
    <w:p>
      <w:r>
        <w:rPr>
          <w:rStyle w:val="FootnoteReference"/>
        </w:rPr>
        <w:footnoteRef/>
      </w:r>
      <w:r>
        <w:t xml:space="preserve">La Presse, « Rétrospective : mobilisation des ressources fiscales en 2025 » — </w:t>
      </w:r>
      <w:hyperlink w:history="1" r:id="rIdr8n28gezj8cu0u1iiol0x">
        <w:r>
          <w:rPr>
            <w:rStyle w:val="Hyperlink"/>
          </w:rPr>
          <w:t xml:space="preserve">https://www.lapresse.tn/2025/12/29/retrospective-mobilisation-des-ressources-fiscales-en-2025-lequite-fiscale-reste-a-parfaire/</w:t>
        </w:r>
      </w:hyperlink>
    </w:p>
  </w:footnote>
  <w:footnote w:id="8">
    <w:p>
      <w:r>
        <w:rPr>
          <w:rStyle w:val="FootnoteReference"/>
        </w:rPr>
        <w:footnoteRef/>
      </w:r>
      <w:r>
        <w:t xml:space="preserve">Observatoire tunisien de l'économie, « L'amnistie fiscale de 2024 : vers un affaiblissement du système fiscal » — </w:t>
      </w:r>
      <w:hyperlink w:history="1" r:id="rIdugbzfndt7d7cjf9uc9rk3">
        <w:r>
          <w:rPr>
            <w:rStyle w:val="Hyperlink"/>
          </w:rPr>
          <w:t xml:space="preserve">https://www.economie-tunisie.org/fr/Lamnistie-fiscale-de-2024</w:t>
        </w:r>
      </w:hyperlink>
    </w:p>
  </w:footnote>
  <w:footnote w:id="9">
    <w:p>
      <w:r>
        <w:rPr>
          <w:rStyle w:val="FootnoteReference"/>
        </w:rPr>
        <w:footnoteRef/>
      </w:r>
      <w:r>
        <w:t xml:space="preserve">Tustex, « Les principales mesures relatives à l'amnistie fiscale 2024 (cabinet Deloitte) » — </w:t>
      </w:r>
      <w:hyperlink w:history="1" r:id="rIdx8ppatnyxfsfffosx21gx">
        <w:r>
          <w:rPr>
            <w:rStyle w:val="Hyperlink"/>
          </w:rPr>
          <w:t xml:space="preserve">https://www.tustex.com/economie-actualites-economiques/les-principales-mesures-relatives-a-l-amnistie-fiscale-pour-la-regularisation-des-dettes-et-des</w:t>
        </w:r>
      </w:hyperlink>
    </w:p>
  </w:footnote>
  <w:footnote w:id="10">
    <w:p>
      <w:r>
        <w:rPr>
          <w:rStyle w:val="FootnoteReference"/>
        </w:rPr>
        <w:footnoteRef/>
      </w:r>
      <w:r>
        <w:t xml:space="preserve">La Presse, « Amnistie fiscale 2025 : régularisez vos impôts et bénéficiez d'avantages exceptionnels » — </w:t>
      </w:r>
      <w:hyperlink w:history="1" r:id="rId0hijt1nmfmzu6hakzk5ap">
        <w:r>
          <w:rPr>
            <w:rStyle w:val="Hyperlink"/>
          </w:rPr>
          <w:t xml:space="preserve">https://www.lapresse.tn/2025/01/03/tunisie-amnistie-fiscale-2025-regularisez-vos-impots-et-beneficiez-davantages-exceptionnels/</w:t>
        </w:r>
      </w:hyperlink>
    </w:p>
  </w:footnote>
  <w:footnote w:id="11">
    <w:p>
      <w:r>
        <w:rPr>
          <w:rStyle w:val="FootnoteReference"/>
        </w:rPr>
        <w:footnoteRef/>
      </w:r>
      <w:r>
        <w:t xml:space="preserve">Webdo, « FMI : croissance Tunisie à 2,1 % en 2026 » — </w:t>
      </w:r>
      <w:hyperlink w:history="1" r:id="rIdjtdinm19v5d-pfdr4cfla">
        <w:r>
          <w:rPr>
            <w:rStyle w:val="Hyperlink"/>
          </w:rPr>
          <w:t xml:space="preserve">https://www.webdo.tn/fr/actualite/national/tunisie-le-fmi-maintient-une-croissance-a-21-en-2026-un-ralentissement-attendu-en-2027/396388/</w:t>
        </w:r>
      </w:hyperlink>
    </w:p>
  </w:footnote>
  <w:footnote w:id="12">
    <w:p>
      <w:r>
        <w:rPr>
          <w:rStyle w:val="FootnoteReference"/>
        </w:rPr>
        <w:footnoteRef/>
      </w:r>
      <w:r>
        <w:t xml:space="preserve">Webdo, « Loi de finances 2026 : texte officiellement publié au JORT » — </w:t>
      </w:r>
      <w:hyperlink w:history="1" r:id="rIddfmc-tbzcrmudop955oyn">
        <w:r>
          <w:rPr>
            <w:rStyle w:val="Hyperlink"/>
          </w:rPr>
          <w:t xml:space="preserve">https://www.webdo.tn/fr/actualite/national/loi-de-finances-2026-le-texte-officiellement-publie-au-journal-officiel/389486/</w:t>
        </w:r>
      </w:hyperlink>
    </w:p>
  </w:footnote>
  <w:footnote w:id="13">
    <w:p>
      <w:r>
        <w:rPr>
          <w:rStyle w:val="FootnoteReference"/>
        </w:rPr>
        <w:footnoteRef/>
      </w:r>
      <w:r>
        <w:t xml:space="preserve">Code des Droits et Procédures Fiscaux (Tunisie), articles 81, 82 et 85 — </w:t>
      </w:r>
      <w:hyperlink w:history="1" r:id="rId9xxfgslk-zhceethnmvxb">
        <w:r>
          <w:rPr>
            <w:rStyle w:val="Hyperlink"/>
          </w:rPr>
          <w:t xml:space="preserve">https://www.finances.gov.tn/fr</w:t>
        </w:r>
      </w:hyperlink>
    </w:p>
  </w:footnote>
  <w:footnote w:id="14">
    <w:p>
      <w:r>
        <w:rPr>
          <w:rStyle w:val="FootnoteReference"/>
        </w:rPr>
        <w:footnoteRef/>
      </w:r>
      <w:r>
        <w:t xml:space="preserve">Exaco Audit, « Loi de finances 2026 Tunisie : mesures fiscales clés » — </w:t>
      </w:r>
      <w:hyperlink w:history="1" r:id="rIdvhonzylpgrdyybpeps6nm">
        <w:r>
          <w:rPr>
            <w:rStyle w:val="Hyperlink"/>
          </w:rPr>
          <w:t xml:space="preserve">https://www.exacomaudit.com/loi-de-finances-2026/</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7A7974"/>
        <w:sz w:val="18"/>
        <w:szCs w:val="18"/>
      </w:rPr>
      <w:t xml:space="preserve">Livre blanc — Amnistie fiscale Tunisie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rPr>
        <w:color w:val="01696F"/>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8251D"/>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20"/>
      <w:outlineLvl w:val="0"/>
    </w:pPr>
    <w:rPr>
      <w:rFonts w:ascii="Calibri" w:cs="Calibri" w:eastAsia="Calibri" w:hAnsi="Calibri"/>
      <w:b/>
      <w:bCs/>
      <w:color w:val="0C4E54"/>
      <w:sz w:val="40"/>
      <w:szCs w:val="40"/>
    </w:rPr>
  </w:style>
  <w:style w:type="paragraph" w:styleId="Heading2">
    <w:name w:val="Heading 2"/>
    <w:basedOn w:val="Normal"/>
    <w:next w:val="Normal"/>
    <w:qFormat/>
    <w:pPr>
      <w:spacing w:after="140" w:before="280"/>
      <w:outlineLvl w:val="1"/>
    </w:pPr>
    <w:rPr>
      <w:rFonts w:ascii="Calibri" w:cs="Calibri" w:eastAsia="Calibri" w:hAnsi="Calibri"/>
      <w:b/>
      <w:bCs/>
      <w:color w:val="01696F"/>
      <w:sz w:val="30"/>
      <w:szCs w:val="30"/>
    </w:rPr>
  </w:style>
  <w:style w:type="paragraph" w:styleId="Heading3">
    <w:name w:val="Heading 3"/>
    <w:basedOn w:val="Normal"/>
    <w:next w:val="Normal"/>
    <w:qFormat/>
    <w:pPr>
      <w:spacing w:after="100" w:before="220"/>
      <w:outlineLvl w:val="2"/>
    </w:pPr>
    <w:rPr>
      <w:rFonts w:ascii="Calibri" w:cs="Calibri" w:eastAsia="Calibri" w:hAnsi="Calibri"/>
      <w:b/>
      <w:bCs/>
      <w:color w:val="28251D"/>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Relationship Id="rIdylcn-yle4hqjlweovzt09" Type="http://schemas.openxmlformats.org/officeDocument/2006/relationships/hyperlink" Target="https://www.lapresse.tn/2025/12/12/tunisie-publication-officielle-de-la-loi-de-finances-2026-au-jort/" TargetMode="External"/><Relationship Id="rIdh4am0ys0bkkt-1yr9uoje" Type="http://schemas.openxmlformats.org/officeDocument/2006/relationships/hyperlink" Target="https://www.webmanagercenter.com/2026/03/09/562884/amnistie-fiscale-2026-en-tunisie-penalites-annulees-et-facilites-de-paiement-jusqua-5-ans/" TargetMode="External"/><Relationship Id="rIds8wrb_0ejcwvjeuacq9qp" Type="http://schemas.openxmlformats.org/officeDocument/2006/relationships/hyperlink" Target="https://lucapacioli.com.tn/fr/blog/amnistie-fiscale-2026-tunisie" TargetMode="External"/><Relationship Id="rIdxvdz53qhn2u6cs94p6rhr" Type="http://schemas.openxmlformats.org/officeDocument/2006/relationships/hyperlink" Target="https://www.tuniscope.com/article/418880/business/economie/amnistie-fiscale-495020" TargetMode="External"/><Relationship Id="rIdw9ri7lumwfiuxdjjlfys1" Type="http://schemas.openxmlformats.org/officeDocument/2006/relationships/hyperlink" Target="https://blog.avocats.deloitte.fr/tunisie-les-principales-mesures-de-la-loi-de-finances-pour-2026/" TargetMode="External"/><Relationship Id="rIdulkm484vfxng8aqhvbeqa" Type="http://schemas.openxmlformats.org/officeDocument/2006/relationships/hyperlink" Target="https://www.webmanagercenter.com/2025/12/15/557937/loi-de-finances-2026-comprendre-le-budget-recettes-depenses-et-financement-du-deficit/" TargetMode="External"/><Relationship Id="rIdr8n28gezj8cu0u1iiol0x" Type="http://schemas.openxmlformats.org/officeDocument/2006/relationships/hyperlink" Target="https://www.lapresse.tn/2025/12/29/retrospective-mobilisation-des-ressources-fiscales-en-2025-lequite-fiscale-reste-a-parfaire/" TargetMode="External"/><Relationship Id="rIdugbzfndt7d7cjf9uc9rk3" Type="http://schemas.openxmlformats.org/officeDocument/2006/relationships/hyperlink" Target="https://www.economie-tunisie.org/fr/Lamnistie-fiscale-de-2024" TargetMode="External"/><Relationship Id="rIdx8ppatnyxfsfffosx21gx" Type="http://schemas.openxmlformats.org/officeDocument/2006/relationships/hyperlink" Target="https://www.tustex.com/economie-actualites-economiques/les-principales-mesures-relatives-a-l-amnistie-fiscale-pour-la-regularisation-des-dettes-et-des" TargetMode="External"/><Relationship Id="rId0hijt1nmfmzu6hakzk5ap" Type="http://schemas.openxmlformats.org/officeDocument/2006/relationships/hyperlink" Target="https://www.lapresse.tn/2025/01/03/tunisie-amnistie-fiscale-2025-regularisez-vos-impots-et-beneficiez-davantages-exceptionnels/" TargetMode="External"/><Relationship Id="rIdjtdinm19v5d-pfdr4cfla" Type="http://schemas.openxmlformats.org/officeDocument/2006/relationships/hyperlink" Target="https://www.webdo.tn/fr/actualite/national/tunisie-le-fmi-maintient-une-croissance-a-21-en-2026-un-ralentissement-attendu-en-2027/396388/" TargetMode="External"/><Relationship Id="rIddfmc-tbzcrmudop955oyn" Type="http://schemas.openxmlformats.org/officeDocument/2006/relationships/hyperlink" Target="https://www.webdo.tn/fr/actualite/national/loi-de-finances-2026-le-texte-officiellement-publie-au-journal-officiel/389486/" TargetMode="External"/><Relationship Id="rId9xxfgslk-zhceethnmvxb" Type="http://schemas.openxmlformats.org/officeDocument/2006/relationships/hyperlink" Target="https://www.finances.gov.tn/fr" TargetMode="External"/><Relationship Id="rIdvhonzylpgrdyybpeps6nm" Type="http://schemas.openxmlformats.org/officeDocument/2006/relationships/hyperlink" Target="https://www.exacomaudit.com/loi-de-finances-2026/" TargetMode="External"/></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 blanc Amnistie Fiscale Tunisie 2026</dc:title>
  <dc:creator>Livre blanc — Amnistie fiscale Tunisie 2026</dc:creator>
  <dc:description>Décryptage de l'article 69 de la loi de finances 2026</dc:description>
  <cp:lastModifiedBy>Un-named</cp:lastModifiedBy>
  <cp:revision>1</cp:revision>
  <dcterms:created xsi:type="dcterms:W3CDTF">2026-05-13T04:07:53.609Z</dcterms:created>
  <dcterms:modified xsi:type="dcterms:W3CDTF">2026-05-13T04:07:53.609Z</dcterms:modified>
</cp:coreProperties>
</file>

<file path=docProps/custom.xml><?xml version="1.0" encoding="utf-8"?>
<Properties xmlns="http://schemas.openxmlformats.org/officeDocument/2006/custom-properties" xmlns:vt="http://schemas.openxmlformats.org/officeDocument/2006/docPropsVTypes"/>
</file>