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Calibri" w:cs="Calibri" w:eastAsia="Calibri" w:hAnsi="Calibri"/>
          <w:b/>
          <w:bCs/>
          <w:color w:val="01696F"/>
          <w:spacing w:val="80"/>
          <w:sz w:val="56"/>
          <w:szCs w:val="56"/>
        </w:rPr>
        <w:t xml:space="preserve">LIVRE BLANC</w:t>
      </w:r>
    </w:p>
    <w:p>
      <w:pPr>
        <w:spacing w:after="120"/>
        <w:jc w:val="center"/>
      </w:pPr>
      <w:r>
        <w:rPr>
          <w:rFonts w:ascii="Calibri" w:cs="Calibri" w:eastAsia="Calibri" w:hAnsi="Calibri"/>
          <w:i/>
          <w:iCs/>
          <w:color w:val="7A7974"/>
          <w:sz w:val="22"/>
          <w:szCs w:val="22"/>
        </w:rPr>
        <w:t xml:space="preserve">— Édition Mai 2026 —</w:t>
      </w:r>
    </w:p>
    <w:p>
      <w:pPr>
        <w:spacing w:after="800"/>
      </w:pPr>
      <w:r>
        <w:t xml:space="preserve"/>
      </w:r>
    </w:p>
    <w:p>
      <w:pPr>
        <w:spacing w:after="240"/>
        <w:jc w:val="center"/>
      </w:pPr>
      <w:r>
        <w:rPr>
          <w:rFonts w:ascii="Calibri" w:cs="Calibri" w:eastAsia="Calibri" w:hAnsi="Calibri"/>
          <w:b/>
          <w:bCs/>
          <w:color w:val="28251D"/>
          <w:sz w:val="44"/>
          <w:szCs w:val="44"/>
        </w:rPr>
        <w:t xml:space="preserve">Les nouvelles augmentations salariales en Tunisie</w:t>
      </w:r>
    </w:p>
    <w:p>
      <w:pPr>
        <w:spacing w:after="600"/>
        <w:jc w:val="center"/>
      </w:pPr>
      <w:r>
        <w:rPr>
          <w:rFonts w:ascii="Calibri" w:cs="Calibri" w:eastAsia="Calibri" w:hAnsi="Calibri"/>
          <w:i/>
          <w:iCs/>
          <w:color w:val="01696F"/>
          <w:sz w:val="26"/>
          <w:szCs w:val="26"/>
        </w:rPr>
        <w:t xml:space="preserve">Cadre réglementaire 2026‑2028, impacts et enjeux pour les employeurs, les salariés et les retraités</w:t>
      </w:r>
    </w:p>
    <w:p>
      <w:pPr>
        <w:spacing w:after="200" w:before="200"/>
        <w:jc w:val="center"/>
      </w:pPr>
      <w:r>
        <w:rPr>
          <w:color w:val="01696F"/>
          <w:sz w:val="24"/>
          <w:szCs w:val="24"/>
        </w:rPr>
        <w:t xml:space="preserve">────────────────────────</w:t>
      </w:r>
    </w:p>
    <w:p>
      <w:pPr>
        <w:spacing w:after="400"/>
      </w:pPr>
      <w:r>
        <w:t xml:space="preserve"/>
      </w:r>
    </w:p>
    <w:p>
      <w:pPr>
        <w:spacing w:after="100"/>
        <w:jc w:val="center"/>
      </w:pPr>
      <w:r>
        <w:rPr>
          <w:rFonts w:ascii="Calibri" w:cs="Calibri" w:eastAsia="Calibri" w:hAnsi="Calibri"/>
          <w:color w:val="7A7974"/>
          <w:sz w:val="22"/>
          <w:szCs w:val="22"/>
        </w:rPr>
        <w:t xml:space="preserve">Analyse macro‑économique  ·  Cadre juridique  ·  Grilles chiffrées</w:t>
      </w:r>
    </w:p>
    <w:p>
      <w:pPr>
        <w:spacing w:after="100"/>
        <w:jc w:val="center"/>
      </w:pPr>
      <w:r>
        <w:rPr>
          <w:rFonts w:ascii="Calibri" w:cs="Calibri" w:eastAsia="Calibri" w:hAnsi="Calibri"/>
          <w:color w:val="7A7974"/>
          <w:sz w:val="22"/>
          <w:szCs w:val="22"/>
        </w:rPr>
        <w:t xml:space="preserve">Recommandations stratégiques pour les entreprises et les professionnels</w:t>
      </w:r>
    </w:p>
    <w:p>
      <w:pPr>
        <w:spacing w:after="1200"/>
      </w:pPr>
      <w:r>
        <w:t xml:space="preserve"/>
      </w:r>
    </w:p>
    <w:p>
      <w:pPr>
        <w:spacing w:after="80"/>
        <w:jc w:val="center"/>
      </w:pPr>
      <w:r>
        <w:rPr>
          <w:rFonts w:ascii="Calibri" w:cs="Calibri" w:eastAsia="Calibri" w:hAnsi="Calibri"/>
          <w:i/>
          <w:iCs/>
          <w:color w:val="7A7974"/>
          <w:sz w:val="18"/>
          <w:szCs w:val="18"/>
        </w:rPr>
        <w:t xml:space="preserve">Document professionnel à usage informationnel</w:t>
      </w:r>
    </w:p>
    <w:p>
      <w:pPr>
        <w:spacing w:after="80"/>
        <w:jc w:val="center"/>
      </w:pPr>
      <w:r>
        <w:rPr>
          <w:rFonts w:ascii="Calibri" w:cs="Calibri" w:eastAsia="Calibri" w:hAnsi="Calibri"/>
          <w:color w:val="7A7974"/>
          <w:sz w:val="18"/>
          <w:szCs w:val="18"/>
        </w:rPr>
        <w:t xml:space="preserve">Tunisie  ·  Mai 2026</w:t>
      </w:r>
    </w:p>
    <w:p>
      <w:r>
        <w:br w:type="page"/>
      </w:r>
    </w:p>
    <w:p>
      <w:pPr>
        <w:sectPr>
          <w:headerReference w:type="default" r:id="rId7"/>
          <w:footerReference w:type="default" r:id="rId8"/>
          <w:pgSz w:w="11906" w:h="16838" w:orient="portrait"/>
          <w:pgMar w:top="1080" w:right="1080" w:bottom="1080" w:left="1080" w:header="708" w:footer="708" w:gutter="0"/>
          <w:pgNumType/>
          <w:titlePg/>
          <w:docGrid w:linePitch="360"/>
        </w:sectPr>
      </w:pPr>
    </w:p>
    <w:p>
      <w:pPr>
        <w:spacing w:after="240" w:before="200"/>
      </w:pPr>
      <w:r>
        <w:rPr>
          <w:rFonts w:ascii="Calibri" w:cs="Calibri" w:eastAsia="Calibri" w:hAnsi="Calibri"/>
          <w:b/>
          <w:bCs/>
          <w:color w:val="01696F"/>
          <w:sz w:val="36"/>
          <w:szCs w:val="36"/>
        </w:rPr>
        <w:t xml:space="preserve">Sommaire</w:t>
      </w:r>
    </w:p>
    <w:p>
      <w:sdt>
        <w:sdtPr>
          <w:alias w:val="Sommaire"/>
        </w:sdtPr>
        <w:sdtContent>
          <w:p>
            <w:r>
              <w:fldChar w:fldCharType="begin" w:dirty="true"/>
              <w:instrText xml:space="preserve">TOC \h \o "1-3"</w:instrText>
              <w:fldChar w:fldCharType="separate"/>
            </w:r>
          </w:p>
          <w:p>
            <w:r>
              <w:fldChar w:fldCharType="end"/>
            </w:r>
          </w:p>
        </w:sdtContent>
      </w:sdt>
    </w:p>
    <w:p>
      <w:r>
        <w:br w:type="page"/>
      </w:r>
    </w:p>
    <w:p>
      <w:pPr>
        <w:pStyle w:val="Heading1"/>
        <w:pageBreakBefore/>
        <w:spacing w:after="200" w:before="240"/>
      </w:pPr>
      <w:r>
        <w:rPr>
          <w:rFonts w:ascii="Calibri" w:cs="Calibri" w:eastAsia="Calibri" w:hAnsi="Calibri"/>
          <w:b/>
          <w:bCs/>
          <w:color w:val="01696F"/>
          <w:sz w:val="36"/>
          <w:szCs w:val="36"/>
        </w:rPr>
        <w:t xml:space="preserve">1. Résumé exécutif</w:t>
      </w:r>
    </w:p>
    <w:p>
      <w:pPr>
        <w:spacing w:after="120" w:before="0" w:line="300"/>
        <w:jc w:val="both"/>
      </w:pPr>
      <w:r>
        <w:rPr>
          <w:b/>
          <w:bCs/>
          <w:sz w:val="22"/>
          <w:szCs w:val="22"/>
        </w:rPr>
        <w:t xml:space="preserve">La Tunisie est entrée, en 2026, dans un nouveau cycle pluriannuel de revalorisations salariales couvrant la période 2026‑2028.</w:t>
      </w:r>
      <w:r>
        <w:rPr>
          <w:sz w:val="22"/>
          <w:szCs w:val="22"/>
        </w:rPr>
        <w:t xml:space="preserve"> Inscrit à l’article 15 de la Loi de finances 2026, ce dispositif unifié concerne simultanément les agents de la fonction publique et du secteur public, les salariés du secteur privé régis par les conventions collectives sectorielles, ainsi que les retraités des régimes CNRPS et CNSS.</w:t>
      </w:r>
      <w:r>
        <w:rPr>
          <w:rStyle w:val="FootnoteReference"/>
        </w:rPr>
        <w:footnoteReference w:id="1"/>
      </w:r>
    </w:p>
    <w:p>
      <w:pPr>
        <w:spacing w:after="120" w:before="0" w:line="300"/>
        <w:jc w:val="both"/>
      </w:pPr>
      <w:r>
        <w:rPr>
          <w:b w:val="false"/>
          <w:bCs w:val="false"/>
          <w:i w:val="false"/>
          <w:iCs w:val="false"/>
          <w:color w:val="28251D"/>
          <w:sz w:val="22"/>
          <w:szCs w:val="22"/>
        </w:rPr>
        <w:t xml:space="preserve">Les décrets d’application n° 63, 66, 67, 68 et 69 de l’année 2026, publiés au Journal officiel de la République tunisienne (JORT) le 30 avril 2026, fixent désormais des montants chiffrés, opposables aux employeurs et calculables avec précision dans la paie.</w:t>
      </w:r>
    </w:p>
    <w:p>
      <w:pPr>
        <w:spacing w:after="80"/>
      </w:pPr>
      <w:r>
        <w:t xml:space="preserve"/>
      </w:r>
    </w:p>
    <w:p>
      <w:pPr>
        <w:pStyle w:val="Heading3"/>
        <w:spacing w:after="100" w:before="200"/>
      </w:pPr>
      <w:r>
        <w:rPr>
          <w:rFonts w:ascii="Calibri" w:cs="Calibri" w:eastAsia="Calibri" w:hAnsi="Calibri"/>
          <w:b/>
          <w:bCs/>
          <w:color w:val="01696F"/>
          <w:sz w:val="24"/>
          <w:szCs w:val="24"/>
        </w:rPr>
        <w:t xml:space="preserve">Faits marquants à retenir</w:t>
      </w:r>
    </w:p>
    <w:p>
      <w:pPr>
        <w:pStyle w:val="ListParagraph"/>
        <w:numPr>
          <w:ilvl w:val="0"/>
          <w:numId w:val="2"/>
        </w:numPr>
        <w:spacing w:after="80" w:line="280"/>
      </w:pPr>
      <w:r>
        <w:rPr>
          <w:color w:val="28251D"/>
          <w:sz w:val="22"/>
          <w:szCs w:val="22"/>
        </w:rPr>
        <w:t xml:space="preserve">Fonction publique : augmentations sous forme de primes mensuelles entre 90 et 120 dinars selon la catégorie (A1‑A2, A3‑B, autres), via le décret n° 63 de 2026, applicables à partir du 1er janvier 2026 et progressivement étendues jusqu’en 2028.</w:t>
      </w:r>
    </w:p>
    <w:p>
      <w:pPr>
        <w:pStyle w:val="ListParagraph"/>
        <w:numPr>
          <w:ilvl w:val="0"/>
          <w:numId w:val="2"/>
        </w:numPr>
        <w:spacing w:after="80" w:line="280"/>
      </w:pPr>
      <w:r>
        <w:rPr>
          <w:color w:val="28251D"/>
          <w:sz w:val="22"/>
          <w:szCs w:val="22"/>
        </w:rPr>
        <w:t xml:space="preserve">Secteur privé (conventions collectives sectorielles) : augmentation annuelle de 5 % des salaires de base, primes de transport et de présence sur 2026, 2027 et 2028 (décret n° 68 de 2026).</w:t>
      </w:r>
    </w:p>
    <w:p>
      <w:pPr>
        <w:pStyle w:val="ListParagraph"/>
        <w:numPr>
          <w:ilvl w:val="0"/>
          <w:numId w:val="2"/>
        </w:numPr>
        <w:spacing w:after="80" w:line="280"/>
      </w:pPr>
      <w:r>
        <w:rPr>
          <w:color w:val="28251D"/>
          <w:sz w:val="22"/>
          <w:szCs w:val="22"/>
        </w:rPr>
        <w:t xml:space="preserve">SMIG non agricole : 554,736 DT/mois en 2026 (régime 48 h), 582,400 DT en 2027 et 611,520 DT en 2028 (décret n° 67 de 2026).</w:t>
      </w:r>
    </w:p>
    <w:p>
      <w:pPr>
        <w:pStyle w:val="ListParagraph"/>
        <w:numPr>
          <w:ilvl w:val="0"/>
          <w:numId w:val="2"/>
        </w:numPr>
        <w:spacing w:after="80" w:line="280"/>
      </w:pPr>
      <w:r>
        <w:rPr>
          <w:color w:val="28251D"/>
          <w:sz w:val="22"/>
          <w:szCs w:val="22"/>
        </w:rPr>
        <w:t xml:space="preserve">SMAG agricole : 21,336 DT/jour en 2026, 22,400 DT en 2027 et 23,520 DT en 2028 (décret n° 66 de 2026).</w:t>
      </w:r>
    </w:p>
    <w:p>
      <w:pPr>
        <w:pStyle w:val="ListParagraph"/>
        <w:numPr>
          <w:ilvl w:val="0"/>
          <w:numId w:val="2"/>
        </w:numPr>
        <w:spacing w:after="80" w:line="280"/>
      </w:pPr>
      <w:r>
        <w:rPr>
          <w:color w:val="28251D"/>
          <w:sz w:val="22"/>
          <w:szCs w:val="22"/>
        </w:rPr>
        <w:t xml:space="preserve">Pensions de retraite : indexées sur ces revalorisations dans les régimes CNRPS et CNSS (décret n° 69 de 2026).</w:t>
      </w:r>
    </w:p>
    <w:p>
      <w:pPr>
        <w:pStyle w:val="ListParagraph"/>
        <w:numPr>
          <w:ilvl w:val="0"/>
          <w:numId w:val="2"/>
        </w:numPr>
        <w:spacing w:after="80" w:line="280"/>
      </w:pPr>
      <w:r>
        <w:rPr>
          <w:color w:val="28251D"/>
          <w:sz w:val="22"/>
          <w:szCs w:val="22"/>
        </w:rPr>
        <w:t xml:space="preserve">Budget : la masse salariale publique passe de 24,389 milliards de dinars en 2025 à 25,267 milliards en 2026 (+3,6 %), couvrant aussi 22 523 nouveaux postes et la régularisation de 51 878 emplois précaires.</w:t>
      </w:r>
    </w:p>
    <w:p>
      <w:pPr>
        <w:spacing w:after="80"/>
      </w:pPr>
      <w:r>
        <w:t xml:space="preserve"/>
      </w:r>
    </w:p>
    <w:p>
      <w:pPr>
        <w:spacing w:after="120" w:before="0" w:line="300"/>
        <w:jc w:val="both"/>
      </w:pPr>
      <w:r>
        <w:rPr>
          <w:sz w:val="22"/>
          <w:szCs w:val="22"/>
        </w:rPr>
        <w:t xml:space="preserve">Au‑delà de la mesure technique, ces revalorisations interviennent dans un contexte de tension sur le pouvoir d’achat : l’inflation cumulée depuis 2015 implique qu’un salaire de 1 000 DT en 2015 devrait théoriquement atteindre près de 1 933 DT en 2026 pour préserver la même capacité de consommation</w:t>
      </w:r>
      <w:r>
        <w:rPr>
          <w:rStyle w:val="FootnoteReference"/>
        </w:rPr>
        <w:footnoteReference w:id="2"/>
      </w:r>
      <w:r>
        <w:rPr>
          <w:sz w:val="22"/>
          <w:szCs w:val="22"/>
        </w:rPr>
        <w:t xml:space="preserve">. L’UGTT continue de réclamer un effort supplémentaire, jugeant les hausses adoptées en deçà des besoins réels des ménages</w:t>
      </w:r>
      <w:r>
        <w:rPr>
          <w:rStyle w:val="FootnoteReference"/>
        </w:rPr>
        <w:footnoteReference w:id="3"/>
      </w:r>
      <w:r>
        <w:rPr>
          <w:sz w:val="22"/>
          <w:szCs w:val="22"/>
        </w:rPr>
        <w:t xml:space="preserve">.</w:t>
      </w:r>
    </w:p>
    <w:p>
      <w:pPr>
        <w:pStyle w:val="Heading1"/>
        <w:pageBreakBefore/>
        <w:spacing w:after="200" w:before="240"/>
      </w:pPr>
      <w:r>
        <w:rPr>
          <w:rFonts w:ascii="Calibri" w:cs="Calibri" w:eastAsia="Calibri" w:hAnsi="Calibri"/>
          <w:b/>
          <w:bCs/>
          <w:color w:val="01696F"/>
          <w:sz w:val="36"/>
          <w:szCs w:val="36"/>
        </w:rPr>
        <w:t xml:space="preserve">2. Contexte macro‑économique et social</w:t>
      </w:r>
    </w:p>
    <w:p>
      <w:pPr>
        <w:pStyle w:val="Heading2"/>
        <w:spacing w:after="140" w:before="280"/>
      </w:pPr>
      <w:r>
        <w:rPr>
          <w:rFonts w:ascii="Calibri" w:cs="Calibri" w:eastAsia="Calibri" w:hAnsi="Calibri"/>
          <w:b/>
          <w:bCs/>
          <w:color w:val="28251D"/>
          <w:sz w:val="28"/>
          <w:szCs w:val="28"/>
        </w:rPr>
        <w:t xml:space="preserve">2.1 Cadre macro‑économique de la Tunisie</w:t>
      </w:r>
    </w:p>
    <w:p>
      <w:pPr>
        <w:spacing w:after="120" w:before="0" w:line="300"/>
        <w:jc w:val="both"/>
      </w:pPr>
      <w:r>
        <w:rPr>
          <w:sz w:val="22"/>
          <w:szCs w:val="22"/>
        </w:rPr>
        <w:t xml:space="preserve">Le dispositif salarial 2026‑2028 s’inscrit dans une économie tunisienne marquée par une croissance modérée comprise entre 2 % et 3 %, une inflation persistante située dans une fourchette de 7 % à 9 % au cours des derniers exercices, et un budget public sous forte contrainte</w:t>
      </w:r>
      <w:r>
        <w:rPr>
          <w:rStyle w:val="FootnoteReference"/>
        </w:rPr>
        <w:footnoteReference w:id="4"/>
      </w:r>
      <w:r>
        <w:rPr>
          <w:sz w:val="22"/>
          <w:szCs w:val="22"/>
        </w:rPr>
        <w:t xml:space="preserve">.</w:t>
      </w:r>
    </w:p>
    <w:p>
      <w:pPr>
        <w:spacing w:after="120" w:before="0" w:line="300"/>
        <w:jc w:val="both"/>
      </w:pPr>
      <w:r>
        <w:rPr>
          <w:b w:val="false"/>
          <w:bCs w:val="false"/>
          <w:i w:val="false"/>
          <w:iCs w:val="false"/>
          <w:color w:val="28251D"/>
          <w:sz w:val="22"/>
          <w:szCs w:val="22"/>
        </w:rPr>
        <w:t xml:space="preserve">La masse salariale publique représente entre 13 % et 14 % du Produit intérieur brut, soit plus de 20 milliards de dinars annuels, contre 16,1 milliards en 2020. Cette structure budgétaire restreint l’ampleur des hausses possibles à court terme et explique l’étalement du dispositif sur trois exercices.</w:t>
      </w:r>
    </w:p>
    <w:p>
      <w:pPr>
        <w:pStyle w:val="Heading2"/>
        <w:spacing w:after="140" w:before="280"/>
      </w:pPr>
      <w:r>
        <w:rPr>
          <w:rFonts w:ascii="Calibri" w:cs="Calibri" w:eastAsia="Calibri" w:hAnsi="Calibri"/>
          <w:b/>
          <w:bCs/>
          <w:color w:val="28251D"/>
          <w:sz w:val="28"/>
          <w:szCs w:val="28"/>
        </w:rPr>
        <w:t xml:space="preserve">2.2 Érosion du pouvoir d’achat</w:t>
      </w:r>
    </w:p>
    <w:p>
      <w:pPr>
        <w:spacing w:after="120" w:before="0" w:line="300"/>
        <w:jc w:val="both"/>
      </w:pPr>
      <w:r>
        <w:rPr>
          <w:sz w:val="22"/>
          <w:szCs w:val="22"/>
        </w:rPr>
        <w:t xml:space="preserve">L’économiste Ridha Chkoundali rappelle qu’en se fondant sur l’inflation officielle, un salarié percevant 500 DT en janvier 2015 devrait toucher environ 966 DT en janvier 2026 pour préserver son pouvoir d’achat. À 1 000 DT en 2015 correspondrait 1 933 DT en 2026 et à 1 500 DT, 2 899 DT</w:t>
      </w:r>
      <w:r>
        <w:rPr>
          <w:rStyle w:val="FootnoteReference"/>
        </w:rPr>
        <w:footnoteReference w:id="5"/>
      </w:r>
      <w:r>
        <w:rPr>
          <w:sz w:val="22"/>
          <w:szCs w:val="22"/>
        </w:rPr>
        <w:t xml:space="preserve">. En tenant compte de l’« inflation du vécu » sur les produits de première nécessité, ces seuils sont en réalité plus élevés.</w:t>
      </w:r>
    </w:p>
    <w:p>
      <w:pPr>
        <w:spacing w:after="120" w:before="0" w:line="300"/>
        <w:jc w:val="both"/>
      </w:pPr>
      <w:r>
        <w:rPr>
          <w:sz w:val="22"/>
          <w:szCs w:val="22"/>
        </w:rPr>
        <w:t xml:space="preserve">Cette divergence entre l’indice officiel et la perception des ménages alimente une demande sociale forte de revalorisation, à laquelle l’UGTT donne une expression institutionnelle régulière</w:t>
      </w:r>
      <w:r>
        <w:rPr>
          <w:rStyle w:val="FootnoteReference"/>
        </w:rPr>
        <w:footnoteReference w:id="6"/>
      </w:r>
      <w:r>
        <w:rPr>
          <w:sz w:val="22"/>
          <w:szCs w:val="22"/>
        </w:rPr>
        <w:t xml:space="preserve">.</w:t>
      </w:r>
    </w:p>
    <w:p>
      <w:pPr>
        <w:pStyle w:val="Heading2"/>
        <w:spacing w:after="140" w:before="280"/>
      </w:pPr>
      <w:r>
        <w:rPr>
          <w:rFonts w:ascii="Calibri" w:cs="Calibri" w:eastAsia="Calibri" w:hAnsi="Calibri"/>
          <w:b/>
          <w:bCs/>
          <w:color w:val="28251D"/>
          <w:sz w:val="28"/>
          <w:szCs w:val="28"/>
        </w:rPr>
        <w:t xml:space="preserve">2.3 Genèse du dispositif 2026‑2028</w:t>
      </w:r>
    </w:p>
    <w:p>
      <w:pPr>
        <w:pStyle w:val="ListParagraph"/>
        <w:numPr>
          <w:ilvl w:val="0"/>
          <w:numId w:val="2"/>
        </w:numPr>
        <w:spacing w:after="80" w:line="280"/>
      </w:pPr>
      <w:r>
        <w:rPr>
          <w:b/>
          <w:bCs/>
          <w:sz w:val="22"/>
          <w:szCs w:val="22"/>
        </w:rPr>
        <w:t xml:space="preserve">Mars 2025 : </w:t>
      </w:r>
      <w:r>
        <w:rPr>
          <w:sz w:val="22"/>
          <w:szCs w:val="22"/>
        </w:rPr>
        <w:t xml:space="preserve">le ministère des Affaires sociales engage des consultations bilatérales avec l’UGTT et l’UTICA en vue d’un nouvel accord salarial.</w:t>
      </w:r>
    </w:p>
    <w:p>
      <w:pPr>
        <w:pStyle w:val="ListParagraph"/>
        <w:numPr>
          <w:ilvl w:val="0"/>
          <w:numId w:val="2"/>
        </w:numPr>
        <w:spacing w:after="80" w:line="280"/>
      </w:pPr>
      <w:r>
        <w:rPr>
          <w:b/>
          <w:bCs/>
          <w:sz w:val="22"/>
          <w:szCs w:val="22"/>
        </w:rPr>
        <w:t xml:space="preserve">Décembre 2025 : </w:t>
      </w:r>
      <w:r>
        <w:rPr>
          <w:sz w:val="22"/>
          <w:szCs w:val="22"/>
        </w:rPr>
        <w:t xml:space="preserve">le Conseil national des régions et des districts réintroduit l’article 15 dans le projet de Loi de finances 2026, fixant un principe d’augmentation pour les trois exercices à venir.</w:t>
      </w:r>
    </w:p>
    <w:p>
      <w:pPr>
        <w:pStyle w:val="ListParagraph"/>
        <w:numPr>
          <w:ilvl w:val="0"/>
          <w:numId w:val="2"/>
        </w:numPr>
        <w:spacing w:after="80" w:line="280"/>
      </w:pPr>
      <w:r>
        <w:rPr>
          <w:b/>
          <w:bCs/>
          <w:sz w:val="22"/>
          <w:szCs w:val="22"/>
        </w:rPr>
        <w:t xml:space="preserve">Janvier 2026 : </w:t>
      </w:r>
      <w:r>
        <w:rPr>
          <w:sz w:val="22"/>
          <w:szCs w:val="22"/>
        </w:rPr>
        <w:t xml:space="preserve">accord entre l’UGTT et la Chambre nationale des grandes surfaces commerciales sur l’avance d’augmentation salariale au titre de 2025.</w:t>
      </w:r>
    </w:p>
    <w:p>
      <w:pPr>
        <w:pStyle w:val="ListParagraph"/>
        <w:numPr>
          <w:ilvl w:val="0"/>
          <w:numId w:val="2"/>
        </w:numPr>
        <w:spacing w:after="80" w:line="280"/>
      </w:pPr>
      <w:r>
        <w:rPr>
          <w:b/>
          <w:bCs/>
          <w:sz w:val="22"/>
          <w:szCs w:val="22"/>
        </w:rPr>
        <w:t xml:space="preserve">23 mars 2026 : </w:t>
      </w:r>
      <w:r>
        <w:rPr>
          <w:sz w:val="22"/>
          <w:szCs w:val="22"/>
        </w:rPr>
        <w:t xml:space="preserve">le Président Kaïs Saïed préside, au palais de Carthage, une réunion consacrée à l’application de l’article 15 et à l’équilibre entre contraintes budgétaires et aspirations sociales.</w:t>
      </w:r>
      <w:r>
        <w:rPr>
          <w:rStyle w:val="FootnoteReference"/>
        </w:rPr>
        <w:footnoteReference w:id="7"/>
      </w:r>
    </w:p>
    <w:p>
      <w:pPr>
        <w:pStyle w:val="ListParagraph"/>
        <w:numPr>
          <w:ilvl w:val="0"/>
          <w:numId w:val="2"/>
        </w:numPr>
        <w:spacing w:after="80" w:line="280"/>
      </w:pPr>
      <w:r>
        <w:rPr>
          <w:b/>
          <w:bCs/>
          <w:sz w:val="22"/>
          <w:szCs w:val="22"/>
        </w:rPr>
        <w:t xml:space="preserve">30 avril 2026 : </w:t>
      </w:r>
      <w:r>
        <w:rPr>
          <w:sz w:val="22"/>
          <w:szCs w:val="22"/>
        </w:rPr>
        <w:t xml:space="preserve">publication au JORT des décrets n° 63, 66, 67, 68 et 69 de 2026 qui rendent le dispositif applicable.</w:t>
      </w:r>
      <w:r>
        <w:rPr>
          <w:rStyle w:val="FootnoteReference"/>
        </w:rPr>
        <w:footnoteReference w:id="8"/>
      </w:r>
    </w:p>
    <w:p>
      <w:pPr>
        <w:pStyle w:val="Heading1"/>
        <w:pageBreakBefore/>
        <w:spacing w:after="200" w:before="240"/>
      </w:pPr>
      <w:r>
        <w:rPr>
          <w:rFonts w:ascii="Calibri" w:cs="Calibri" w:eastAsia="Calibri" w:hAnsi="Calibri"/>
          <w:b/>
          <w:bCs/>
          <w:color w:val="01696F"/>
          <w:sz w:val="36"/>
          <w:szCs w:val="36"/>
        </w:rPr>
        <w:t xml:space="preserve">3. Augmentations dans la fonction publique et le secteur public</w:t>
      </w:r>
    </w:p>
    <w:p>
      <w:pPr>
        <w:pStyle w:val="Heading2"/>
        <w:spacing w:after="140" w:before="280"/>
      </w:pPr>
      <w:r>
        <w:rPr>
          <w:rFonts w:ascii="Calibri" w:cs="Calibri" w:eastAsia="Calibri" w:hAnsi="Calibri"/>
          <w:b/>
          <w:bCs/>
          <w:color w:val="28251D"/>
          <w:sz w:val="28"/>
          <w:szCs w:val="28"/>
        </w:rPr>
        <w:t xml:space="preserve">3.1 Décret n° 63 de 2026 : architecture des hausses</w:t>
      </w:r>
    </w:p>
    <w:p>
      <w:pPr>
        <w:spacing w:after="120" w:before="0" w:line="300"/>
        <w:jc w:val="both"/>
      </w:pPr>
      <w:r>
        <w:rPr>
          <w:sz w:val="22"/>
          <w:szCs w:val="22"/>
        </w:rPr>
        <w:t xml:space="preserve">Le décret n° 63 de 2026 fixe les modalités concrètes des augmentations applicables aux agents de la fonction publique tunisienne. Plutôt qu’une revalorisation uniforme du salaire de base, il privilégie une mécanique de primes ciblées qui restructurent la rémunération globale</w:t>
      </w:r>
      <w:r>
        <w:rPr>
          <w:rStyle w:val="FootnoteReference"/>
        </w:rPr>
        <w:footnoteReference w:id="9"/>
      </w:r>
      <w:r>
        <w:rPr>
          <w:sz w:val="22"/>
          <w:szCs w:val="22"/>
        </w:rPr>
        <w:t xml:space="preserve">.</w:t>
      </w:r>
    </w:p>
    <w:p>
      <w:pPr>
        <w:pStyle w:val="ListParagraph"/>
        <w:numPr>
          <w:ilvl w:val="0"/>
          <w:numId w:val="2"/>
        </w:numPr>
        <w:spacing w:after="80" w:line="280"/>
      </w:pPr>
      <w:r>
        <w:rPr>
          <w:color w:val="28251D"/>
          <w:sz w:val="22"/>
          <w:szCs w:val="22"/>
        </w:rPr>
        <w:t xml:space="preserve">Relèvement des indemnités existantes.</w:t>
      </w:r>
    </w:p>
    <w:p>
      <w:pPr>
        <w:pStyle w:val="ListParagraph"/>
        <w:numPr>
          <w:ilvl w:val="0"/>
          <w:numId w:val="2"/>
        </w:numPr>
        <w:spacing w:after="80" w:line="280"/>
      </w:pPr>
      <w:r>
        <w:rPr>
          <w:color w:val="28251D"/>
          <w:sz w:val="22"/>
          <w:szCs w:val="22"/>
        </w:rPr>
        <w:t xml:space="preserve">Révision des primes de gestion et d’exécution.</w:t>
      </w:r>
    </w:p>
    <w:p>
      <w:pPr>
        <w:pStyle w:val="ListParagraph"/>
        <w:numPr>
          <w:ilvl w:val="0"/>
          <w:numId w:val="2"/>
        </w:numPr>
        <w:spacing w:after="80" w:line="280"/>
      </w:pPr>
      <w:r>
        <w:rPr>
          <w:color w:val="28251D"/>
          <w:sz w:val="22"/>
          <w:szCs w:val="22"/>
        </w:rPr>
        <w:t xml:space="preserve">Hausses sectorielles pour la culture, l’éducation, l’enseignement supérieur et l’intérieur.</w:t>
      </w:r>
    </w:p>
    <w:p>
      <w:pPr>
        <w:pStyle w:val="ListParagraph"/>
        <w:numPr>
          <w:ilvl w:val="0"/>
          <w:numId w:val="2"/>
        </w:numPr>
        <w:spacing w:after="80" w:line="280"/>
      </w:pPr>
      <w:r>
        <w:rPr>
          <w:color w:val="28251D"/>
          <w:sz w:val="22"/>
          <w:szCs w:val="22"/>
        </w:rPr>
        <w:t xml:space="preserve">Revalorisation des primes pour ingénieurs, architectes et informaticiens.</w:t>
      </w:r>
    </w:p>
    <w:p>
      <w:pPr>
        <w:pStyle w:val="ListParagraph"/>
        <w:numPr>
          <w:ilvl w:val="0"/>
          <w:numId w:val="2"/>
        </w:numPr>
        <w:spacing w:after="80" w:line="280"/>
      </w:pPr>
      <w:r>
        <w:rPr>
          <w:color w:val="28251D"/>
          <w:sz w:val="22"/>
          <w:szCs w:val="22"/>
        </w:rPr>
        <w:t xml:space="preserve">Renforcement des primes des secteurs sensibles : médecins, dentistes, pharmaciens, vétérinaires, structures de contrôle, recherche scientifique, encadrement universitaire, agents des affaires sociales, inspection et emploi.</w:t>
      </w:r>
    </w:p>
    <w:p>
      <w:pPr>
        <w:pStyle w:val="Heading2"/>
        <w:spacing w:after="140" w:before="280"/>
      </w:pPr>
      <w:r>
        <w:rPr>
          <w:rFonts w:ascii="Calibri" w:cs="Calibri" w:eastAsia="Calibri" w:hAnsi="Calibri"/>
          <w:b/>
          <w:bCs/>
          <w:color w:val="28251D"/>
          <w:sz w:val="28"/>
          <w:szCs w:val="28"/>
        </w:rPr>
        <w:t xml:space="preserve">3.2 Grille indicative des augmentations mensuelles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360"/>
      </w:tblGrid>
      <w:tr>
        <w:trPr>
          <w:tblHeader/>
        </w:trPr>
        <w:tc>
          <w:tcPr>
            <w:tcW w:type="dxa" w:w="3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Catégorie professionnelle</w:t>
            </w:r>
          </w:p>
        </w:tc>
        <w:tc>
          <w:tcPr>
            <w:tcW w:type="dxa" w:w="2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Augmentation mensuelle</w:t>
            </w:r>
          </w:p>
        </w:tc>
        <w:tc>
          <w:tcPr>
            <w:tcW w:type="dxa" w:w="2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Date d’application</w:t>
            </w:r>
          </w:p>
        </w:tc>
        <w:tc>
          <w:tcPr>
            <w:tcW w:type="dxa" w:w="236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Profil concerné</w:t>
            </w:r>
          </w:p>
        </w:tc>
      </w:tr>
      <w:tr>
        <w:tc>
          <w:tcPr>
            <w:tcW w:type="dxa" w:w="3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Catégories A1 et A2</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120 DT</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1ᵉʳ janv. 2026</w:t>
            </w:r>
          </w:p>
        </w:tc>
        <w:tc>
          <w:tcPr>
            <w:tcW w:type="dxa" w:w="23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Cadres supérieurs et conception</w:t>
            </w:r>
          </w:p>
        </w:tc>
      </w:tr>
      <w:tr>
        <w:tc>
          <w:tcPr>
            <w:tcW w:type="dxa" w:w="3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Catégories A3 et B</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100 à 105 DT</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2026 (calendrier précisé)</w:t>
            </w:r>
          </w:p>
        </w:tc>
        <w:tc>
          <w:tcPr>
            <w:tcW w:type="dxa" w:w="23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Maîtrise et encadrement intermédiaire</w:t>
            </w:r>
          </w:p>
        </w:tc>
      </w:tr>
      <w:tr>
        <w:tc>
          <w:tcPr>
            <w:tcW w:type="dxa" w:w="3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Autres catégories (C, D)</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 90 DT</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2026 (échelonnement 2027‑2028)</w:t>
            </w:r>
          </w:p>
        </w:tc>
        <w:tc>
          <w:tcPr>
            <w:tcW w:type="dxa" w:w="23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Exécution et services</w:t>
            </w:r>
          </w:p>
        </w:tc>
      </w:tr>
    </w:tbl>
    <w:p>
      <w:pPr>
        <w:spacing w:after="140"/>
      </w:pPr>
      <w:r>
        <w:t xml:space="preserve"/>
      </w:r>
    </w:p>
    <w:p>
      <w:pPr>
        <w:spacing w:after="120" w:before="0" w:line="300"/>
        <w:jc w:val="both"/>
      </w:pPr>
      <w:r>
        <w:rPr>
          <w:i/>
          <w:iCs/>
          <w:color w:val="7A7974"/>
          <w:sz w:val="18"/>
          <w:szCs w:val="18"/>
        </w:rPr>
        <w:t xml:space="preserve">Source : Tustex, sur la base du décret n° 63 de 2026 (avril 2026)</w:t>
      </w:r>
      <w:r>
        <w:rPr>
          <w:rStyle w:val="FootnoteReference"/>
        </w:rPr>
        <w:footnoteReference w:id="10"/>
      </w:r>
      <w:r>
        <w:rPr>
          <w:color w:val="7A7974"/>
          <w:sz w:val="18"/>
          <w:szCs w:val="18"/>
        </w:rPr>
        <w:t xml:space="preserve">.</w:t>
      </w:r>
    </w:p>
    <w:p>
      <w:pPr>
        <w:pStyle w:val="Heading2"/>
        <w:spacing w:after="140" w:before="280"/>
      </w:pPr>
      <w:r>
        <w:rPr>
          <w:rFonts w:ascii="Calibri" w:cs="Calibri" w:eastAsia="Calibri" w:hAnsi="Calibri"/>
          <w:b/>
          <w:bCs/>
          <w:color w:val="28251D"/>
          <w:sz w:val="28"/>
          <w:szCs w:val="28"/>
        </w:rPr>
        <w:t xml:space="preserve">3.3 Règles d’application et impact sur la retraite</w:t>
      </w:r>
    </w:p>
    <w:p>
      <w:pPr>
        <w:pStyle w:val="ListParagraph"/>
        <w:numPr>
          <w:ilvl w:val="0"/>
          <w:numId w:val="2"/>
        </w:numPr>
        <w:spacing w:after="80" w:line="280"/>
      </w:pPr>
      <w:r>
        <w:rPr>
          <w:color w:val="28251D"/>
          <w:sz w:val="22"/>
          <w:szCs w:val="22"/>
        </w:rPr>
        <w:t xml:space="preserve">Non‑cumul de certaines primes : les primes de gestion et d’exécution ne peuvent pas se cumuler avec d’autres indemnités liées à la performance.</w:t>
      </w:r>
    </w:p>
    <w:p>
      <w:pPr>
        <w:pStyle w:val="ListParagraph"/>
        <w:numPr>
          <w:ilvl w:val="0"/>
          <w:numId w:val="2"/>
        </w:numPr>
        <w:spacing w:after="80" w:line="280"/>
      </w:pPr>
      <w:r>
        <w:rPr>
          <w:color w:val="28251D"/>
          <w:sz w:val="22"/>
          <w:szCs w:val="22"/>
        </w:rPr>
        <w:t xml:space="preserve">Application progressive jusqu’en 2027 et 2028 pour certaines catégories, de manière à lisser l’impact budgétaire sur la masse salariale publique.</w:t>
      </w:r>
    </w:p>
    <w:p>
      <w:pPr>
        <w:pStyle w:val="ListParagraph"/>
        <w:numPr>
          <w:ilvl w:val="0"/>
          <w:numId w:val="2"/>
        </w:numPr>
        <w:spacing w:after="80" w:line="280"/>
      </w:pPr>
      <w:r>
        <w:rPr>
          <w:b/>
          <w:bCs/>
          <w:sz w:val="22"/>
          <w:szCs w:val="22"/>
        </w:rPr>
        <w:t xml:space="preserve">Impact retraite : </w:t>
      </w:r>
      <w:r>
        <w:rPr>
          <w:sz w:val="22"/>
          <w:szCs w:val="22"/>
        </w:rPr>
        <w:t xml:space="preserve">les augmentations sont prises en compte dans le calcul des pensions des agents publics, conformément à la législation en vigueur.</w:t>
      </w:r>
    </w:p>
    <w:p>
      <w:pPr>
        <w:pStyle w:val="Heading2"/>
        <w:spacing w:after="140" w:before="280"/>
      </w:pPr>
      <w:r>
        <w:rPr>
          <w:rFonts w:ascii="Calibri" w:cs="Calibri" w:eastAsia="Calibri" w:hAnsi="Calibri"/>
          <w:b/>
          <w:bCs/>
          <w:color w:val="28251D"/>
          <w:sz w:val="28"/>
          <w:szCs w:val="28"/>
        </w:rPr>
        <w:t xml:space="preserve">3.4 Cadrage budgétaire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1900"/>
        <w:gridCol w:w="1960"/>
        <w:gridCol w:w="2000"/>
      </w:tblGrid>
      <w:tr>
        <w:trPr>
          <w:tblHeader/>
        </w:trPr>
        <w:tc>
          <w:tcPr>
            <w:tcW w:type="dxa" w:w="35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Indicateur</w:t>
            </w:r>
          </w:p>
        </w:tc>
        <w:tc>
          <w:tcPr>
            <w:tcW w:type="dxa" w:w="19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2025</w:t>
            </w:r>
          </w:p>
        </w:tc>
        <w:tc>
          <w:tcPr>
            <w:tcW w:type="dxa" w:w="196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2026</w:t>
            </w:r>
          </w:p>
        </w:tc>
        <w:tc>
          <w:tcPr>
            <w:tcW w:type="dxa" w:w="2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Variation</w:t>
            </w:r>
          </w:p>
        </w:tc>
      </w:tr>
      <w:tr>
        <w:tc>
          <w:tcPr>
            <w:tcW w:type="dxa" w:w="35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Budget des salaires publics (mds DT)</w:t>
            </w:r>
          </w:p>
        </w:tc>
        <w:tc>
          <w:tcPr>
            <w:tcW w:type="dxa" w:w="19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24,389</w:t>
            </w:r>
          </w:p>
        </w:tc>
        <w:tc>
          <w:tcPr>
            <w:tcW w:type="dxa" w:w="1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25,267</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+3,6 %</w:t>
            </w:r>
          </w:p>
        </w:tc>
      </w:tr>
      <w:tr>
        <w:tc>
          <w:tcPr>
            <w:tcW w:type="dxa" w:w="35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Nouveaux postes créés</w:t>
            </w:r>
          </w:p>
        </w:tc>
        <w:tc>
          <w:tcPr>
            <w:tcW w:type="dxa" w:w="19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w:t>
            </w:r>
          </w:p>
        </w:tc>
        <w:tc>
          <w:tcPr>
            <w:tcW w:type="dxa" w:w="19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22 523</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w:t>
            </w:r>
          </w:p>
        </w:tc>
      </w:tr>
      <w:tr>
        <w:tc>
          <w:tcPr>
            <w:tcW w:type="dxa" w:w="35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Régularisations d’emplois précaires</w:t>
            </w:r>
          </w:p>
        </w:tc>
        <w:tc>
          <w:tcPr>
            <w:tcW w:type="dxa" w:w="19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w:t>
            </w:r>
          </w:p>
        </w:tc>
        <w:tc>
          <w:tcPr>
            <w:tcW w:type="dxa" w:w="1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51 878</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w:t>
            </w:r>
          </w:p>
        </w:tc>
      </w:tr>
      <w:tr>
        <w:tc>
          <w:tcPr>
            <w:tcW w:type="dxa" w:w="35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Part dans le PIB</w:t>
            </w:r>
          </w:p>
        </w:tc>
        <w:tc>
          <w:tcPr>
            <w:tcW w:type="dxa" w:w="19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 13‑14 %</w:t>
            </w:r>
          </w:p>
        </w:tc>
        <w:tc>
          <w:tcPr>
            <w:tcW w:type="dxa" w:w="19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 13‑14 %</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Stable</w:t>
            </w:r>
          </w:p>
        </w:tc>
      </w:tr>
    </w:tbl>
    <w:p>
      <w:pPr>
        <w:spacing w:after="140"/>
      </w:pPr>
      <w:r>
        <w:t xml:space="preserve"/>
      </w:r>
    </w:p>
    <w:p>
      <w:pPr>
        <w:spacing w:after="120" w:before="0" w:line="300"/>
        <w:jc w:val="both"/>
      </w:pPr>
      <w:r>
        <w:rPr>
          <w:i/>
          <w:iCs/>
          <w:color w:val="7A7974"/>
          <w:sz w:val="18"/>
          <w:szCs w:val="18"/>
        </w:rPr>
        <w:t xml:space="preserve">Source : Loi de finances 2026 et analyse La Presse Tunisie</w:t>
      </w:r>
      <w:r>
        <w:rPr>
          <w:rStyle w:val="FootnoteReference"/>
        </w:rPr>
        <w:footnoteReference w:id="11"/>
      </w:r>
      <w:r>
        <w:rPr>
          <w:color w:val="7A7974"/>
          <w:sz w:val="18"/>
          <w:szCs w:val="18"/>
        </w:rPr>
        <w:t xml:space="preserve">.</w:t>
      </w:r>
    </w:p>
    <w:p>
      <w:pPr>
        <w:pStyle w:val="Heading1"/>
        <w:pageBreakBefore/>
        <w:spacing w:after="200" w:before="240"/>
      </w:pPr>
      <w:r>
        <w:rPr>
          <w:rFonts w:ascii="Calibri" w:cs="Calibri" w:eastAsia="Calibri" w:hAnsi="Calibri"/>
          <w:b/>
          <w:bCs/>
          <w:color w:val="01696F"/>
          <w:sz w:val="36"/>
          <w:szCs w:val="36"/>
        </w:rPr>
        <w:t xml:space="preserve">4. Augmentations dans le secteur privé</w:t>
      </w:r>
    </w:p>
    <w:p>
      <w:pPr>
        <w:pStyle w:val="Heading2"/>
        <w:spacing w:after="140" w:before="280"/>
      </w:pPr>
      <w:r>
        <w:rPr>
          <w:rFonts w:ascii="Calibri" w:cs="Calibri" w:eastAsia="Calibri" w:hAnsi="Calibri"/>
          <w:b/>
          <w:bCs/>
          <w:color w:val="28251D"/>
          <w:sz w:val="28"/>
          <w:szCs w:val="28"/>
        </w:rPr>
        <w:t xml:space="preserve">4.1 Décret n° 68 de 2026 : revalorisation conventionnelle de 5 % par an</w:t>
      </w:r>
    </w:p>
    <w:p>
      <w:pPr>
        <w:spacing w:after="120" w:before="0" w:line="300"/>
        <w:jc w:val="both"/>
      </w:pPr>
      <w:r>
        <w:rPr>
          <w:sz w:val="22"/>
          <w:szCs w:val="22"/>
        </w:rPr>
        <w:t xml:space="preserve">Le décret n° 68 de 2026 prévoit une augmentation annuelle de 5 % des salaires de base, de la prime de transport et de la prime de présence dans les secteurs non agricoles régis par les conventions collectives sectorielles, pour les trois exercices 2026, 2027 et 2028</w:t>
      </w:r>
      <w:r>
        <w:rPr>
          <w:rStyle w:val="FootnoteReference"/>
        </w:rPr>
        <w:footnoteReference w:id="12"/>
      </w:r>
      <w:r>
        <w:rPr>
          <w:sz w:val="22"/>
          <w:szCs w:val="22"/>
        </w:rPr>
        <w:t xml:space="preserve">.</w:t>
      </w:r>
    </w:p>
    <w:p>
      <w:pPr>
        <w:pStyle w:val="ListParagraph"/>
        <w:numPr>
          <w:ilvl w:val="0"/>
          <w:numId w:val="2"/>
        </w:numPr>
        <w:spacing w:after="80" w:line="280"/>
      </w:pPr>
      <w:r>
        <w:rPr>
          <w:color w:val="28251D"/>
          <w:sz w:val="22"/>
          <w:szCs w:val="22"/>
        </w:rPr>
        <w:t xml:space="preserve">Le calcul 2026 s’opère sur les dernières grilles de salaires annexées aux conventions collectives.</w:t>
      </w:r>
    </w:p>
    <w:p>
      <w:pPr>
        <w:pStyle w:val="ListParagraph"/>
        <w:numPr>
          <w:ilvl w:val="0"/>
          <w:numId w:val="2"/>
        </w:numPr>
        <w:spacing w:after="80" w:line="280"/>
      </w:pPr>
      <w:r>
        <w:rPr>
          <w:color w:val="28251D"/>
          <w:sz w:val="22"/>
          <w:szCs w:val="22"/>
        </w:rPr>
        <w:t xml:space="preserve">Les augmentations 2027 et 2028 se calculent successivement sur le salaire majoré de l’année précédente, ce qui produit une progression composée.</w:t>
      </w:r>
    </w:p>
    <w:p>
      <w:pPr>
        <w:pStyle w:val="ListParagraph"/>
        <w:numPr>
          <w:ilvl w:val="0"/>
          <w:numId w:val="2"/>
        </w:numPr>
        <w:spacing w:after="80" w:line="280"/>
      </w:pPr>
      <w:r>
        <w:rPr>
          <w:color w:val="28251D"/>
          <w:sz w:val="22"/>
          <w:szCs w:val="22"/>
        </w:rPr>
        <w:t xml:space="preserve">La règle s’applique à l’ensemble des employeurs et travailleurs couverts par les conventions sectorielles, y compris pour les salariés percevant des rémunérations supérieures aux salaires de base conventionnels.</w:t>
      </w:r>
    </w:p>
    <w:p>
      <w:pPr>
        <w:pStyle w:val="Heading2"/>
        <w:spacing w:after="140" w:before="280"/>
      </w:pPr>
      <w:r>
        <w:rPr>
          <w:rFonts w:ascii="Calibri" w:cs="Calibri" w:eastAsia="Calibri" w:hAnsi="Calibri"/>
          <w:b/>
          <w:bCs/>
          <w:color w:val="28251D"/>
          <w:sz w:val="28"/>
          <w:szCs w:val="28"/>
        </w:rPr>
        <w:t xml:space="preserve">4.2 Effet composé sur trois exercices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400"/>
        <w:gridCol w:w="2560"/>
      </w:tblGrid>
      <w:tr>
        <w:trPr>
          <w:tblHeader/>
        </w:trPr>
        <w:tc>
          <w:tcPr>
            <w:tcW w:type="dxa" w:w="2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Exercice</w:t>
            </w:r>
          </w:p>
        </w:tc>
        <w:tc>
          <w:tcPr>
            <w:tcW w:type="dxa" w:w="24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Coefficient appliqué</w:t>
            </w:r>
          </w:p>
        </w:tc>
        <w:tc>
          <w:tcPr>
            <w:tcW w:type="dxa" w:w="24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Indice base 100 en 2025</w:t>
            </w:r>
          </w:p>
        </w:tc>
        <w:tc>
          <w:tcPr>
            <w:tcW w:type="dxa" w:w="256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Hausse cumulée</w:t>
            </w:r>
          </w:p>
        </w:tc>
      </w:tr>
      <w:tr>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2026</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 1,05</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105,00</w:t>
            </w:r>
          </w:p>
        </w:tc>
        <w:tc>
          <w:tcPr>
            <w:tcW w:type="dxa" w:w="25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+5,00 %</w:t>
            </w:r>
          </w:p>
        </w:tc>
      </w:tr>
      <w:tr>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2027</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 1,05</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110,25</w:t>
            </w:r>
          </w:p>
        </w:tc>
        <w:tc>
          <w:tcPr>
            <w:tcW w:type="dxa" w:w="25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+10,25 %</w:t>
            </w:r>
          </w:p>
        </w:tc>
      </w:tr>
      <w:tr>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2028</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 1,05</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115,76</w:t>
            </w:r>
          </w:p>
        </w:tc>
        <w:tc>
          <w:tcPr>
            <w:tcW w:type="dxa" w:w="25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+15,76 %</w:t>
            </w:r>
          </w:p>
        </w:tc>
      </w:tr>
    </w:tbl>
    <w:p>
      <w:pPr>
        <w:spacing w:after="140"/>
      </w:pPr>
      <w:r>
        <w:t xml:space="preserve"/>
      </w:r>
    </w:p>
    <w:p>
      <w:pPr>
        <w:spacing w:after="120" w:before="0" w:line="300"/>
        <w:jc w:val="both"/>
      </w:pPr>
      <w:r>
        <w:rPr>
          <w:i/>
          <w:iCs/>
          <w:color w:val="7A7974"/>
          <w:sz w:val="20"/>
          <w:szCs w:val="20"/>
        </w:rPr>
        <w:t xml:space="preserve">Lecture : un salaire conventionnel de 1 000 DT bruts en décembre 2025 atteint 1 050 DT en 2026, 1 102,50 DT en 2027 et 1 157,63 DT en 2028 si la grille est appliquée mécaniquement.</w:t>
      </w:r>
    </w:p>
    <w:p>
      <w:pPr>
        <w:pStyle w:val="Heading2"/>
        <w:spacing w:after="140" w:before="280"/>
      </w:pPr>
      <w:r>
        <w:rPr>
          <w:rFonts w:ascii="Calibri" w:cs="Calibri" w:eastAsia="Calibri" w:hAnsi="Calibri"/>
          <w:b/>
          <w:bCs/>
          <w:color w:val="28251D"/>
          <w:sz w:val="28"/>
          <w:szCs w:val="28"/>
        </w:rPr>
        <w:t xml:space="preserve">4.3 Conventions sectorielles et négociation collective</w:t>
      </w:r>
    </w:p>
    <w:p>
      <w:pPr>
        <w:spacing w:after="120" w:before="0" w:line="300"/>
        <w:jc w:val="both"/>
      </w:pPr>
      <w:r>
        <w:rPr>
          <w:sz w:val="22"/>
          <w:szCs w:val="22"/>
        </w:rPr>
        <w:t xml:space="preserve">Les hausses prévues constituent un plancher minimal opposable à toutes les entreprises couvertes ; elles peuvent être complétées par des négociations internes ou des accords plus favorables</w:t>
      </w:r>
      <w:r>
        <w:rPr>
          <w:rStyle w:val="FootnoteReference"/>
        </w:rPr>
        <w:footnoteReference w:id="13"/>
      </w:r>
      <w:r>
        <w:rPr>
          <w:sz w:val="22"/>
          <w:szCs w:val="22"/>
        </w:rPr>
        <w:t xml:space="preserve">. L’UGTT a réclamé en 2026 le strict respect du versement des augmentations 2025 dans le secteur privé, conformément aux conventions conclues et au principe de crédibilité de la négociation collective</w:t>
      </w:r>
      <w:r>
        <w:rPr>
          <w:rStyle w:val="FootnoteReference"/>
        </w:rPr>
        <w:footnoteReference w:id="14"/>
      </w:r>
      <w:r>
        <w:rPr>
          <w:sz w:val="22"/>
          <w:szCs w:val="22"/>
        </w:rPr>
        <w:t xml:space="preserve">.</w:t>
      </w:r>
    </w:p>
    <w:p>
      <w:pPr>
        <w:pStyle w:val="Heading2"/>
        <w:spacing w:after="140" w:before="280"/>
      </w:pPr>
      <w:r>
        <w:rPr>
          <w:rFonts w:ascii="Calibri" w:cs="Calibri" w:eastAsia="Calibri" w:hAnsi="Calibri"/>
          <w:b/>
          <w:bCs/>
          <w:color w:val="28251D"/>
          <w:sz w:val="28"/>
          <w:szCs w:val="28"/>
        </w:rPr>
        <w:t xml:space="preserve">4.4 Rappel : accord 2023‑2025</w:t>
      </w:r>
    </w:p>
    <w:p>
      <w:pPr>
        <w:pStyle w:val="ListParagraph"/>
        <w:numPr>
          <w:ilvl w:val="0"/>
          <w:numId w:val="2"/>
        </w:numPr>
        <w:spacing w:after="80" w:line="280"/>
      </w:pPr>
      <w:r>
        <w:rPr>
          <w:b/>
          <w:bCs/>
          <w:sz w:val="22"/>
          <w:szCs w:val="22"/>
        </w:rPr>
        <w:t xml:space="preserve">UGTT–UTICA 2023‑2025 : </w:t>
      </w:r>
      <w:r>
        <w:rPr>
          <w:sz w:val="22"/>
          <w:szCs w:val="22"/>
        </w:rPr>
        <w:t xml:space="preserve">augmentation conventionnelle de 6,75 % cumulée sur la période, négociée par accord interprofessionnel.</w:t>
      </w:r>
      <w:r>
        <w:rPr>
          <w:rStyle w:val="FootnoteReference"/>
        </w:rPr>
        <w:footnoteReference w:id="15"/>
      </w:r>
    </w:p>
    <w:p>
      <w:pPr>
        <w:pStyle w:val="ListParagraph"/>
        <w:numPr>
          <w:ilvl w:val="0"/>
          <w:numId w:val="2"/>
        </w:numPr>
        <w:spacing w:after="80" w:line="280"/>
      </w:pPr>
      <w:r>
        <w:rPr>
          <w:b/>
          <w:bCs/>
          <w:sz w:val="22"/>
          <w:szCs w:val="22"/>
        </w:rPr>
        <w:t xml:space="preserve">Fonction publique 2023‑2025 : </w:t>
      </w:r>
      <w:r>
        <w:rPr>
          <w:sz w:val="22"/>
          <w:szCs w:val="22"/>
        </w:rPr>
        <w:t xml:space="preserve">65 DT/an pour les catégories C et D, et 100 DT/an pour la catégorie A.</w:t>
      </w:r>
      <w:r>
        <w:rPr>
          <w:rStyle w:val="FootnoteReference"/>
        </w:rPr>
        <w:footnoteReference w:id="16"/>
      </w:r>
    </w:p>
    <w:p>
      <w:pPr>
        <w:pStyle w:val="Heading1"/>
        <w:pageBreakBefore/>
        <w:spacing w:after="200" w:before="240"/>
      </w:pPr>
      <w:r>
        <w:rPr>
          <w:rFonts w:ascii="Calibri" w:cs="Calibri" w:eastAsia="Calibri" w:hAnsi="Calibri"/>
          <w:b/>
          <w:bCs/>
          <w:color w:val="01696F"/>
          <w:sz w:val="36"/>
          <w:szCs w:val="36"/>
        </w:rPr>
        <w:t xml:space="preserve">5. Évolution du SMIG et du SMAG</w:t>
      </w:r>
    </w:p>
    <w:p>
      <w:pPr>
        <w:pStyle w:val="Heading2"/>
        <w:spacing w:after="140" w:before="280"/>
      </w:pPr>
      <w:r>
        <w:rPr>
          <w:rFonts w:ascii="Calibri" w:cs="Calibri" w:eastAsia="Calibri" w:hAnsi="Calibri"/>
          <w:b/>
          <w:bCs/>
          <w:color w:val="28251D"/>
          <w:sz w:val="28"/>
          <w:szCs w:val="28"/>
        </w:rPr>
        <w:t xml:space="preserve">5.1 SMIG non agricole — Décret n° 67 de 2026</w:t>
      </w:r>
    </w:p>
    <w:p>
      <w:pPr>
        <w:spacing w:after="120" w:before="0" w:line="300"/>
        <w:jc w:val="both"/>
      </w:pPr>
      <w:r>
        <w:rPr>
          <w:b w:val="false"/>
          <w:bCs w:val="false"/>
          <w:i w:val="false"/>
          <w:iCs w:val="false"/>
          <w:color w:val="28251D"/>
          <w:sz w:val="22"/>
          <w:szCs w:val="22"/>
        </w:rPr>
        <w:t xml:space="preserve">Le décret n° 67 de 2026 fixe le salaire minimum interprofessionnel garanti (SMIG) pour les travailleurs âgés de 18 ans et plus, régis par le Code du travail. Les nouveaux planchers s’appliquent à partir du 1ᵉʳ janvier 2026, avec deux paliers supplémentaires en 2027 et 2028.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000"/>
        <w:gridCol w:w="1830"/>
        <w:gridCol w:w="1830"/>
      </w:tblGrid>
      <w:tr>
        <w:trPr>
          <w:tblHeader/>
        </w:trPr>
        <w:tc>
          <w:tcPr>
            <w:tcW w:type="dxa" w:w="17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Année</w:t>
            </w:r>
          </w:p>
        </w:tc>
        <w:tc>
          <w:tcPr>
            <w:tcW w:type="dxa" w:w="2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Régime 48 h — Mensuel</w:t>
            </w:r>
          </w:p>
        </w:tc>
        <w:tc>
          <w:tcPr>
            <w:tcW w:type="dxa" w:w="2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Régime 40 h — Mensuel</w:t>
            </w:r>
          </w:p>
        </w:tc>
        <w:tc>
          <w:tcPr>
            <w:tcW w:type="dxa" w:w="183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Taux horaire 48 h</w:t>
            </w:r>
          </w:p>
        </w:tc>
        <w:tc>
          <w:tcPr>
            <w:tcW w:type="dxa" w:w="183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Taux horaire 40 h</w:t>
            </w:r>
          </w:p>
        </w:tc>
      </w:tr>
      <w:tr>
        <w:tc>
          <w:tcPr>
            <w:tcW w:type="dxa" w:w="17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2025 (rappel)</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528,320 DT</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448,238 DT</w:t>
            </w:r>
          </w:p>
        </w:tc>
        <w:tc>
          <w:tcPr>
            <w:tcW w:type="dxa" w:w="183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2,540 DT</w:t>
            </w:r>
          </w:p>
        </w:tc>
        <w:tc>
          <w:tcPr>
            <w:tcW w:type="dxa" w:w="183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2,586 DT</w:t>
            </w:r>
          </w:p>
        </w:tc>
      </w:tr>
      <w:tr>
        <w:tc>
          <w:tcPr>
            <w:tcW w:type="dxa" w:w="17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2026</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554,736 DT</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470,251 DT</w:t>
            </w:r>
          </w:p>
        </w:tc>
        <w:tc>
          <w:tcPr>
            <w:tcW w:type="dxa" w:w="183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2,667 DT</w:t>
            </w:r>
          </w:p>
        </w:tc>
        <w:tc>
          <w:tcPr>
            <w:tcW w:type="dxa" w:w="183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2,713 DT</w:t>
            </w:r>
          </w:p>
        </w:tc>
      </w:tr>
      <w:tr>
        <w:tc>
          <w:tcPr>
            <w:tcW w:type="dxa" w:w="17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2027</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582,400 DT</w:t>
            </w:r>
          </w:p>
        </w:tc>
        <w:tc>
          <w:tcPr>
            <w:tcW w:type="dxa" w:w="2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493,304 DT</w:t>
            </w:r>
          </w:p>
        </w:tc>
        <w:tc>
          <w:tcPr>
            <w:tcW w:type="dxa" w:w="183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2,800 DT</w:t>
            </w:r>
          </w:p>
        </w:tc>
        <w:tc>
          <w:tcPr>
            <w:tcW w:type="dxa" w:w="183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2,846 DT</w:t>
            </w:r>
          </w:p>
        </w:tc>
      </w:tr>
      <w:tr>
        <w:tc>
          <w:tcPr>
            <w:tcW w:type="dxa" w:w="17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2028</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611,520 DT</w:t>
            </w:r>
          </w:p>
        </w:tc>
        <w:tc>
          <w:tcPr>
            <w:tcW w:type="dxa" w:w="2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517,571 DT</w:t>
            </w:r>
          </w:p>
        </w:tc>
        <w:tc>
          <w:tcPr>
            <w:tcW w:type="dxa" w:w="183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2,940 DT</w:t>
            </w:r>
          </w:p>
        </w:tc>
        <w:tc>
          <w:tcPr>
            <w:tcW w:type="dxa" w:w="183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2,986 DT</w:t>
            </w:r>
          </w:p>
        </w:tc>
      </w:tr>
    </w:tbl>
    <w:p>
      <w:pPr>
        <w:spacing w:after="140"/>
      </w:pPr>
      <w:r>
        <w:t xml:space="preserve"/>
      </w:r>
    </w:p>
    <w:p>
      <w:pPr>
        <w:spacing w:after="120" w:before="0" w:line="300"/>
        <w:jc w:val="both"/>
      </w:pPr>
      <w:r>
        <w:rPr>
          <w:i/>
          <w:iCs/>
          <w:color w:val="7A7974"/>
          <w:sz w:val="18"/>
          <w:szCs w:val="18"/>
        </w:rPr>
        <w:t xml:space="preserve">Sources : décret n° 67 de 2026, JORT du 30 avril 2026 ; Business News, 30 avril 2026</w:t>
      </w:r>
      <w:r>
        <w:rPr>
          <w:rStyle w:val="FootnoteReference"/>
        </w:rPr>
        <w:footnoteReference w:id="17"/>
      </w:r>
      <w:r>
        <w:rPr>
          <w:color w:val="7A7974"/>
          <w:sz w:val="18"/>
          <w:szCs w:val="18"/>
        </w:rPr>
        <w:t xml:space="preserve">.</w:t>
      </w:r>
    </w:p>
    <w:p>
      <w:pPr>
        <w:spacing w:after="80"/>
      </w:pPr>
      <w:r>
        <w:t xml:space="preserve"/>
      </w:r>
    </w:p>
    <w:p>
      <w:pPr>
        <w:pStyle w:val="Heading3"/>
        <w:spacing w:after="100" w:before="200"/>
      </w:pPr>
      <w:r>
        <w:rPr>
          <w:rFonts w:ascii="Calibri" w:cs="Calibri" w:eastAsia="Calibri" w:hAnsi="Calibri"/>
          <w:b/>
          <w:bCs/>
          <w:color w:val="01696F"/>
          <w:sz w:val="24"/>
          <w:szCs w:val="24"/>
        </w:rPr>
        <w:t xml:space="preserve">Règles d’application clés</w:t>
      </w:r>
    </w:p>
    <w:p>
      <w:pPr>
        <w:pStyle w:val="ListParagraph"/>
        <w:numPr>
          <w:ilvl w:val="0"/>
          <w:numId w:val="2"/>
        </w:numPr>
        <w:spacing w:after="80" w:line="280"/>
      </w:pPr>
      <w:r>
        <w:rPr>
          <w:color w:val="28251D"/>
          <w:sz w:val="22"/>
          <w:szCs w:val="22"/>
        </w:rPr>
        <w:t xml:space="preserve">Aucun salaire ne peut être inférieur à ces montants pour les catégories visées par le décret.</w:t>
      </w:r>
    </w:p>
    <w:p>
      <w:pPr>
        <w:pStyle w:val="ListParagraph"/>
        <w:numPr>
          <w:ilvl w:val="0"/>
          <w:numId w:val="2"/>
        </w:numPr>
        <w:spacing w:after="80" w:line="280"/>
      </w:pPr>
      <w:r>
        <w:rPr>
          <w:color w:val="28251D"/>
          <w:sz w:val="22"/>
          <w:szCs w:val="22"/>
        </w:rPr>
        <w:t xml:space="preserve">Les jeunes travailleurs de moins de 18 ans ne peuvent percevoir un salaire inférieur à 85 % du SMIG d’un travailleur adulte de la même catégorie.</w:t>
      </w:r>
    </w:p>
    <w:p>
      <w:pPr>
        <w:pStyle w:val="ListParagraph"/>
        <w:numPr>
          <w:ilvl w:val="0"/>
          <w:numId w:val="2"/>
        </w:numPr>
        <w:spacing w:after="80" w:line="280"/>
      </w:pPr>
      <w:r>
        <w:rPr>
          <w:color w:val="28251D"/>
          <w:sz w:val="22"/>
          <w:szCs w:val="22"/>
        </w:rPr>
        <w:t xml:space="preserve">Les salariés dont le salaire global (y compris les primes) est déjà supérieur ou égal au nouveau SMIG ne bénéficient pas automatiquement d’une revalorisation au titre du SMIG.</w:t>
      </w:r>
    </w:p>
    <w:p>
      <w:pPr>
        <w:pStyle w:val="ListParagraph"/>
        <w:numPr>
          <w:ilvl w:val="0"/>
          <w:numId w:val="2"/>
        </w:numPr>
        <w:spacing w:after="80" w:line="280"/>
      </w:pPr>
      <w:r>
        <w:rPr>
          <w:color w:val="28251D"/>
          <w:sz w:val="22"/>
          <w:szCs w:val="22"/>
        </w:rPr>
        <w:t xml:space="preserve">Le SMIG inclut une indemnité temporaire supplémentaire et s’applique également aux pensions de retraite indexées sur lui.</w:t>
      </w:r>
    </w:p>
    <w:p>
      <w:pPr>
        <w:pStyle w:val="Heading2"/>
        <w:spacing w:after="140" w:before="280"/>
      </w:pPr>
      <w:r>
        <w:rPr>
          <w:rFonts w:ascii="Calibri" w:cs="Calibri" w:eastAsia="Calibri" w:hAnsi="Calibri"/>
          <w:b/>
          <w:bCs/>
          <w:color w:val="28251D"/>
          <w:sz w:val="28"/>
          <w:szCs w:val="28"/>
        </w:rPr>
        <w:t xml:space="preserve">5.2 SMAG — Décret n° 66 de 2026</w:t>
      </w:r>
    </w:p>
    <w:p>
      <w:pPr>
        <w:spacing w:after="120" w:before="0" w:line="300"/>
        <w:jc w:val="both"/>
      </w:pPr>
      <w:r>
        <w:rPr>
          <w:b w:val="false"/>
          <w:bCs w:val="false"/>
          <w:i w:val="false"/>
          <w:iCs w:val="false"/>
          <w:color w:val="28251D"/>
          <w:sz w:val="22"/>
          <w:szCs w:val="22"/>
        </w:rPr>
        <w:t xml:space="preserve">Le décret n° 66 de 2026 fixe le salaire minimum agricole garanti (SMAG) pour les travailleurs âgés de 18 ans et plus du secteur agricole, ainsi que les primes attachées à la qualification.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400"/>
        <w:gridCol w:w="2700"/>
        <w:gridCol w:w="2760"/>
      </w:tblGrid>
      <w:tr>
        <w:trPr>
          <w:tblHeader/>
        </w:trPr>
        <w:tc>
          <w:tcPr>
            <w:tcW w:type="dxa" w:w="15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Année</w:t>
            </w:r>
          </w:p>
        </w:tc>
        <w:tc>
          <w:tcPr>
            <w:tcW w:type="dxa" w:w="24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SMAG journalier</w:t>
            </w:r>
          </w:p>
        </w:tc>
        <w:tc>
          <w:tcPr>
            <w:tcW w:type="dxa" w:w="27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Prime de technicité (par jour)</w:t>
            </w:r>
          </w:p>
        </w:tc>
        <w:tc>
          <w:tcPr>
            <w:tcW w:type="dxa" w:w="276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Prime travailleurs qualifiés (par jour)</w:t>
            </w:r>
          </w:p>
        </w:tc>
      </w:tr>
      <w:tr>
        <w:tc>
          <w:tcPr>
            <w:tcW w:type="dxa" w:w="15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2026</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21,336 DT</w:t>
            </w:r>
          </w:p>
        </w:tc>
        <w:tc>
          <w:tcPr>
            <w:tcW w:type="dxa" w:w="27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1,138 DT</w:t>
            </w:r>
          </w:p>
        </w:tc>
        <w:tc>
          <w:tcPr>
            <w:tcW w:type="dxa" w:w="27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2,140 DT</w:t>
            </w:r>
          </w:p>
        </w:tc>
      </w:tr>
      <w:tr>
        <w:tc>
          <w:tcPr>
            <w:tcW w:type="dxa" w:w="15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2027</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22,400 DT</w:t>
            </w:r>
          </w:p>
        </w:tc>
        <w:tc>
          <w:tcPr>
            <w:tcW w:type="dxa" w:w="27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1,195 DT</w:t>
            </w:r>
          </w:p>
        </w:tc>
        <w:tc>
          <w:tcPr>
            <w:tcW w:type="dxa" w:w="27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2,247 DT</w:t>
            </w:r>
          </w:p>
        </w:tc>
      </w:tr>
      <w:tr>
        <w:tc>
          <w:tcPr>
            <w:tcW w:type="dxa" w:w="15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2028</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23,520 DT</w:t>
            </w:r>
          </w:p>
        </w:tc>
        <w:tc>
          <w:tcPr>
            <w:tcW w:type="dxa" w:w="27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1,255 DT</w:t>
            </w:r>
          </w:p>
        </w:tc>
        <w:tc>
          <w:tcPr>
            <w:tcW w:type="dxa" w:w="27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2,359 DT</w:t>
            </w:r>
          </w:p>
        </w:tc>
      </w:tr>
    </w:tbl>
    <w:p>
      <w:pPr>
        <w:spacing w:after="140"/>
      </w:pPr>
      <w:r>
        <w:t xml:space="preserve"/>
      </w:r>
    </w:p>
    <w:p>
      <w:pPr>
        <w:spacing w:after="120" w:before="0" w:line="300"/>
        <w:jc w:val="both"/>
      </w:pPr>
      <w:r>
        <w:rPr>
          <w:i/>
          <w:iCs/>
          <w:color w:val="7A7974"/>
          <w:sz w:val="18"/>
          <w:szCs w:val="18"/>
        </w:rPr>
        <w:t xml:space="preserve">Source : décret n° 66 de 2026, JORT du 30 avril 2026</w:t>
      </w:r>
      <w:r>
        <w:rPr>
          <w:rStyle w:val="FootnoteReference"/>
        </w:rPr>
        <w:footnoteReference w:id="18"/>
      </w:r>
      <w:r>
        <w:rPr>
          <w:color w:val="7A7974"/>
          <w:sz w:val="18"/>
          <w:szCs w:val="18"/>
        </w:rPr>
        <w:t xml:space="preserve">.</w:t>
      </w:r>
    </w:p>
    <w:p>
      <w:pPr>
        <w:spacing w:after="80"/>
      </w:pPr>
      <w:r>
        <w:t xml:space="preserve"/>
      </w:r>
    </w:p>
    <w:p>
      <w:pPr>
        <w:pStyle w:val="ListParagraph"/>
        <w:numPr>
          <w:ilvl w:val="0"/>
          <w:numId w:val="2"/>
        </w:numPr>
        <w:spacing w:after="80" w:line="280"/>
      </w:pPr>
      <w:r>
        <w:rPr>
          <w:color w:val="28251D"/>
          <w:sz w:val="22"/>
          <w:szCs w:val="22"/>
        </w:rPr>
        <w:t xml:space="preserve">Les primes de technicité et de qualification s’ajoutent au SMAG pour chaque journée de travail nécessitant une spécialisation.</w:t>
      </w:r>
    </w:p>
    <w:p>
      <w:pPr>
        <w:pStyle w:val="ListParagraph"/>
        <w:numPr>
          <w:ilvl w:val="0"/>
          <w:numId w:val="2"/>
        </w:numPr>
        <w:spacing w:after="80" w:line="280"/>
      </w:pPr>
      <w:r>
        <w:rPr>
          <w:color w:val="28251D"/>
          <w:sz w:val="22"/>
          <w:szCs w:val="22"/>
        </w:rPr>
        <w:t xml:space="preserve">Les travailleurs payés à la tâche, à la pièce ou au rendement bénéficient d’une majoration leur garantissant le SMAG pour un rendement normal ; des sanctions sont prévues à l’égard des employeurs contrevenants.</w:t>
      </w:r>
    </w:p>
    <w:p>
      <w:pPr>
        <w:pStyle w:val="ListParagraph"/>
        <w:numPr>
          <w:ilvl w:val="0"/>
          <w:numId w:val="2"/>
        </w:numPr>
        <w:spacing w:after="80" w:line="280"/>
      </w:pPr>
      <w:r>
        <w:rPr>
          <w:color w:val="28251D"/>
          <w:sz w:val="22"/>
          <w:szCs w:val="22"/>
        </w:rPr>
        <w:t xml:space="preserve">La hausse du SMAG s’applique aux pensions de retraite servies par la Caisse nationale de sécurité sociale (CNSS).</w:t>
      </w:r>
    </w:p>
    <w:p>
      <w:pPr>
        <w:pStyle w:val="Heading1"/>
        <w:pageBreakBefore/>
        <w:spacing w:after="200" w:before="240"/>
      </w:pPr>
      <w:r>
        <w:rPr>
          <w:rFonts w:ascii="Calibri" w:cs="Calibri" w:eastAsia="Calibri" w:hAnsi="Calibri"/>
          <w:b/>
          <w:bCs/>
          <w:color w:val="01696F"/>
          <w:sz w:val="36"/>
          <w:szCs w:val="36"/>
        </w:rPr>
        <w:t xml:space="preserve">6. Pensions de retraite : indexation et impact</w:t>
      </w:r>
    </w:p>
    <w:p>
      <w:pPr>
        <w:spacing w:after="120" w:before="0" w:line="300"/>
        <w:jc w:val="both"/>
      </w:pPr>
      <w:r>
        <w:rPr>
          <w:sz w:val="22"/>
          <w:szCs w:val="22"/>
        </w:rPr>
        <w:t xml:space="preserve">Le décret n° 69 de 2026 et les dispositions des décrets n° 66 à 68 de 2026 prévoient explicitement l’extension des revalorisations salariales aux pensions de retraite, dans les régimes du secteur public (CNRPS) comme du secteur privé (CNSS)</w:t>
      </w:r>
      <w:r>
        <w:rPr>
          <w:rStyle w:val="FootnoteReference"/>
        </w:rPr>
        <w:footnoteReference w:id="19"/>
      </w:r>
      <w:r>
        <w:rPr>
          <w:sz w:val="22"/>
          <w:szCs w:val="22"/>
        </w:rPr>
        <w:t xml:space="preserve">.</w:t>
      </w:r>
    </w:p>
    <w:p>
      <w:pPr>
        <w:pStyle w:val="Heading3"/>
        <w:spacing w:after="100" w:before="200"/>
      </w:pPr>
      <w:r>
        <w:rPr>
          <w:rFonts w:ascii="Calibri" w:cs="Calibri" w:eastAsia="Calibri" w:hAnsi="Calibri"/>
          <w:b/>
          <w:bCs/>
          <w:color w:val="01696F"/>
          <w:sz w:val="24"/>
          <w:szCs w:val="24"/>
        </w:rPr>
        <w:t xml:space="preserve">Mécanique de revalorisation</w:t>
      </w:r>
    </w:p>
    <w:p>
      <w:pPr>
        <w:pStyle w:val="ListParagraph"/>
        <w:numPr>
          <w:ilvl w:val="0"/>
          <w:numId w:val="2"/>
        </w:numPr>
        <w:spacing w:after="80" w:line="280"/>
      </w:pPr>
      <w:r>
        <w:rPr>
          <w:b/>
          <w:bCs/>
          <w:sz w:val="22"/>
          <w:szCs w:val="22"/>
        </w:rPr>
        <w:t xml:space="preserve">Régime public : </w:t>
      </w:r>
      <w:r>
        <w:rPr>
          <w:sz w:val="22"/>
          <w:szCs w:val="22"/>
        </w:rPr>
        <w:t xml:space="preserve">les revalorisations accordées aux agents publics s’appliquent automatiquement aux pensions, alignant la rémunération des retraités sur celle des actifs de leur catégorie d’origine.</w:t>
      </w:r>
    </w:p>
    <w:p>
      <w:pPr>
        <w:pStyle w:val="ListParagraph"/>
        <w:numPr>
          <w:ilvl w:val="0"/>
          <w:numId w:val="2"/>
        </w:numPr>
        <w:spacing w:after="80" w:line="280"/>
      </w:pPr>
      <w:r>
        <w:rPr>
          <w:b/>
          <w:bCs/>
          <w:sz w:val="22"/>
          <w:szCs w:val="22"/>
        </w:rPr>
        <w:t xml:space="preserve">Régime privé non agricole : </w:t>
      </w:r>
      <w:r>
        <w:rPr>
          <w:sz w:val="22"/>
          <w:szCs w:val="22"/>
        </w:rPr>
        <w:t xml:space="preserve">la hausse du SMIG entraîne mécaniquement une révision des pensions indexées sur le SMIG et sur les bases de calcul de la CNSS.</w:t>
      </w:r>
    </w:p>
    <w:p>
      <w:pPr>
        <w:pStyle w:val="ListParagraph"/>
        <w:numPr>
          <w:ilvl w:val="0"/>
          <w:numId w:val="2"/>
        </w:numPr>
        <w:spacing w:after="80" w:line="280"/>
      </w:pPr>
      <w:r>
        <w:rPr>
          <w:b/>
          <w:bCs/>
          <w:sz w:val="22"/>
          <w:szCs w:val="22"/>
        </w:rPr>
        <w:t xml:space="preserve">Régime agricole : </w:t>
      </w:r>
      <w:r>
        <w:rPr>
          <w:sz w:val="22"/>
          <w:szCs w:val="22"/>
        </w:rPr>
        <w:t xml:space="preserve">la hausse du SMAG (décret n° 66 de 2026) est expressément étendue aux pensions servies par la CNSS aux anciens travailleurs agricoles.</w:t>
      </w:r>
    </w:p>
    <w:p>
      <w:pPr>
        <w:spacing w:after="80"/>
      </w:pPr>
      <w:r>
        <w:t xml:space="preserve"/>
      </w:r>
    </w:p>
    <w:p>
      <w:pPr>
        <w:spacing w:after="120" w:before="0" w:line="300"/>
        <w:jc w:val="both"/>
      </w:pPr>
      <w:r>
        <w:rPr>
          <w:sz w:val="22"/>
          <w:szCs w:val="22"/>
        </w:rPr>
        <w:t xml:space="preserve">Cette extension renforce le rôle redistributif du dispositif, mais accentue la pression financière sur les caisses sociales, déjà confrontées à un défi structurel d’équilibre actuariel</w:t>
      </w:r>
      <w:r>
        <w:rPr>
          <w:rStyle w:val="FootnoteReference"/>
        </w:rPr>
        <w:footnoteReference w:id="20"/>
      </w:r>
      <w:r>
        <w:rPr>
          <w:sz w:val="22"/>
          <w:szCs w:val="22"/>
        </w:rPr>
        <w:t xml:space="preserve">.</w:t>
      </w:r>
    </w:p>
    <w:p>
      <w:pPr>
        <w:pStyle w:val="Heading1"/>
        <w:pageBreakBefore/>
        <w:spacing w:after="200" w:before="240"/>
      </w:pPr>
      <w:r>
        <w:rPr>
          <w:rFonts w:ascii="Calibri" w:cs="Calibri" w:eastAsia="Calibri" w:hAnsi="Calibri"/>
          <w:b/>
          <w:bCs/>
          <w:color w:val="01696F"/>
          <w:sz w:val="36"/>
          <w:szCs w:val="36"/>
        </w:rPr>
        <w:t xml:space="preserve">7. Impact fiscal et social pour les employeurs</w:t>
      </w:r>
    </w:p>
    <w:p>
      <w:pPr>
        <w:pStyle w:val="Heading2"/>
        <w:spacing w:after="140" w:before="280"/>
      </w:pPr>
      <w:r>
        <w:rPr>
          <w:rFonts w:ascii="Calibri" w:cs="Calibri" w:eastAsia="Calibri" w:hAnsi="Calibri"/>
          <w:b/>
          <w:bCs/>
          <w:color w:val="28251D"/>
          <w:sz w:val="28"/>
          <w:szCs w:val="28"/>
        </w:rPr>
        <w:t xml:space="preserve">7.1 Barème de l’IRPP en vigueur en 2025‑2026</w:t>
      </w:r>
    </w:p>
    <w:p>
      <w:pPr>
        <w:spacing w:after="120" w:before="0" w:line="300"/>
        <w:jc w:val="both"/>
      </w:pPr>
      <w:r>
        <w:rPr>
          <w:b w:val="false"/>
          <w:bCs w:val="false"/>
          <w:i w:val="false"/>
          <w:iCs w:val="false"/>
          <w:color w:val="28251D"/>
          <w:sz w:val="22"/>
          <w:szCs w:val="22"/>
        </w:rPr>
        <w:t xml:space="preserve">Le barème de l’impôt sur le revenu des personnes physiques applicable depuis 2025 (article 36 de la Loi de finances 2025) demeure structuré comme suit. Toute hausse salariale doit être analysée au regard de ce barème pour mesurer l’effet net pour le salarié.</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Tranche de revenu annuel net (DT)</w:t>
            </w:r>
          </w:p>
        </w:tc>
        <w:tc>
          <w:tcPr>
            <w:tcW w:type="dxa" w:w="336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Taux marginal</w:t>
            </w:r>
          </w:p>
        </w:tc>
      </w:tr>
      <w:tr>
        <w:tc>
          <w:tcPr>
            <w:tcW w:type="dxa" w:w="6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0 à 5 000</w:t>
            </w:r>
          </w:p>
        </w:tc>
        <w:tc>
          <w:tcPr>
            <w:tcW w:type="dxa" w:w="33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0 %</w:t>
            </w:r>
          </w:p>
        </w:tc>
      </w:tr>
      <w:tr>
        <w:tc>
          <w:tcPr>
            <w:tcW w:type="dxa" w:w="6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5 000,001 à 10 000</w:t>
            </w:r>
          </w:p>
        </w:tc>
        <w:tc>
          <w:tcPr>
            <w:tcW w:type="dxa" w:w="33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15 %</w:t>
            </w:r>
          </w:p>
        </w:tc>
      </w:tr>
      <w:tr>
        <w:tc>
          <w:tcPr>
            <w:tcW w:type="dxa" w:w="6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10 000,001 à 20 000</w:t>
            </w:r>
          </w:p>
        </w:tc>
        <w:tc>
          <w:tcPr>
            <w:tcW w:type="dxa" w:w="33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25 %</w:t>
            </w:r>
          </w:p>
        </w:tc>
      </w:tr>
      <w:tr>
        <w:tc>
          <w:tcPr>
            <w:tcW w:type="dxa" w:w="6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20 000,001 à 30 000</w:t>
            </w:r>
          </w:p>
        </w:tc>
        <w:tc>
          <w:tcPr>
            <w:tcW w:type="dxa" w:w="33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30 %</w:t>
            </w:r>
          </w:p>
        </w:tc>
      </w:tr>
      <w:tr>
        <w:tc>
          <w:tcPr>
            <w:tcW w:type="dxa" w:w="6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30 000,001 à 40 000</w:t>
            </w:r>
          </w:p>
        </w:tc>
        <w:tc>
          <w:tcPr>
            <w:tcW w:type="dxa" w:w="33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33 %</w:t>
            </w:r>
          </w:p>
        </w:tc>
      </w:tr>
      <w:tr>
        <w:tc>
          <w:tcPr>
            <w:tcW w:type="dxa" w:w="6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40 000,001 à 50 000</w:t>
            </w:r>
          </w:p>
        </w:tc>
        <w:tc>
          <w:tcPr>
            <w:tcW w:type="dxa" w:w="33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36 %</w:t>
            </w:r>
          </w:p>
        </w:tc>
      </w:tr>
      <w:tr>
        <w:tc>
          <w:tcPr>
            <w:tcW w:type="dxa" w:w="60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50 000,001 à 70 000</w:t>
            </w:r>
          </w:p>
        </w:tc>
        <w:tc>
          <w:tcPr>
            <w:tcW w:type="dxa" w:w="33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38 %</w:t>
            </w:r>
          </w:p>
        </w:tc>
      </w:tr>
      <w:tr>
        <w:tc>
          <w:tcPr>
            <w:tcW w:type="dxa" w:w="60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Au‑delà de 70 000</w:t>
            </w:r>
          </w:p>
        </w:tc>
        <w:tc>
          <w:tcPr>
            <w:tcW w:type="dxa" w:w="33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40 %</w:t>
            </w:r>
          </w:p>
        </w:tc>
      </w:tr>
    </w:tbl>
    <w:p>
      <w:pPr>
        <w:spacing w:after="140"/>
      </w:pPr>
      <w:r>
        <w:t xml:space="preserve"/>
      </w:r>
    </w:p>
    <w:p>
      <w:pPr>
        <w:spacing w:after="120" w:before="0" w:line="300"/>
        <w:jc w:val="both"/>
      </w:pPr>
      <w:r>
        <w:rPr>
          <w:i/>
          <w:iCs/>
          <w:color w:val="7A7974"/>
          <w:sz w:val="18"/>
          <w:szCs w:val="18"/>
        </w:rPr>
        <w:t xml:space="preserve">Source : Code de l’IRPP/IS, article 44, paragraphe 1 — barème en vigueur depuis 2025</w:t>
      </w:r>
      <w:r>
        <w:rPr>
          <w:rStyle w:val="FootnoteReference"/>
        </w:rPr>
        <w:footnoteReference w:id="21"/>
      </w:r>
      <w:r>
        <w:rPr>
          <w:color w:val="7A7974"/>
          <w:sz w:val="18"/>
          <w:szCs w:val="18"/>
        </w:rPr>
        <w:t xml:space="preserve">.</w:t>
      </w:r>
    </w:p>
    <w:p>
      <w:pPr>
        <w:pStyle w:val="Heading2"/>
        <w:spacing w:after="140" w:before="280"/>
      </w:pPr>
      <w:r>
        <w:rPr>
          <w:rFonts w:ascii="Calibri" w:cs="Calibri" w:eastAsia="Calibri" w:hAnsi="Calibri"/>
          <w:b/>
          <w:bCs/>
          <w:color w:val="28251D"/>
          <w:sz w:val="28"/>
          <w:szCs w:val="28"/>
        </w:rPr>
        <w:t xml:space="preserve">7.2 Charges sociales et patronales</w:t>
      </w:r>
    </w:p>
    <w:p>
      <w:pPr>
        <w:pStyle w:val="ListParagraph"/>
        <w:numPr>
          <w:ilvl w:val="0"/>
          <w:numId w:val="2"/>
        </w:numPr>
        <w:spacing w:after="80" w:line="280"/>
      </w:pPr>
      <w:r>
        <w:rPr>
          <w:color w:val="28251D"/>
          <w:sz w:val="22"/>
          <w:szCs w:val="22"/>
        </w:rPr>
        <w:t xml:space="preserve">Cotisations CNSS salariales : maintenues à 9,18 % du salaire brut (régime de droit commun).</w:t>
      </w:r>
    </w:p>
    <w:p>
      <w:pPr>
        <w:pStyle w:val="ListParagraph"/>
        <w:numPr>
          <w:ilvl w:val="0"/>
          <w:numId w:val="2"/>
        </w:numPr>
        <w:spacing w:after="80" w:line="280"/>
      </w:pPr>
      <w:r>
        <w:rPr>
          <w:color w:val="28251D"/>
          <w:sz w:val="22"/>
          <w:szCs w:val="22"/>
        </w:rPr>
        <w:t xml:space="preserve">Cotisations patronales CNSS : 16,57 % du salaire brut au titre du régime général, à compléter selon les régimes spécifiques (BTP, agriculture, etc.).</w:t>
      </w:r>
    </w:p>
    <w:p>
      <w:pPr>
        <w:pStyle w:val="ListParagraph"/>
        <w:numPr>
          <w:ilvl w:val="0"/>
          <w:numId w:val="2"/>
        </w:numPr>
        <w:spacing w:after="80" w:line="280"/>
      </w:pPr>
      <w:r>
        <w:rPr>
          <w:color w:val="28251D"/>
          <w:sz w:val="22"/>
          <w:szCs w:val="22"/>
        </w:rPr>
        <w:t xml:space="preserve">Toute revalorisation du salaire de base se répercute sur l’assiette de cotisation, augmentant proportionnellement la charge patronale et la cotisation salariale.</w:t>
      </w:r>
    </w:p>
    <w:p>
      <w:pPr>
        <w:pStyle w:val="ListParagraph"/>
        <w:numPr>
          <w:ilvl w:val="0"/>
          <w:numId w:val="2"/>
        </w:numPr>
        <w:spacing w:after="80" w:line="280"/>
      </w:pPr>
      <w:r>
        <w:rPr>
          <w:color w:val="28251D"/>
          <w:sz w:val="22"/>
          <w:szCs w:val="22"/>
        </w:rPr>
        <w:t xml:space="preserve">Pour les entreprises à effectifs significatifs, l’effet cumulé de l’augmentation de 5 % par an dans le secteur privé impose un retraitement des projections financières et un dialogue rapide avec les services de paie.</w:t>
      </w:r>
    </w:p>
    <w:p>
      <w:pPr>
        <w:pStyle w:val="Heading2"/>
        <w:spacing w:after="140" w:before="280"/>
      </w:pPr>
      <w:r>
        <w:rPr>
          <w:rFonts w:ascii="Calibri" w:cs="Calibri" w:eastAsia="Calibri" w:hAnsi="Calibri"/>
          <w:b/>
          <w:bCs/>
          <w:color w:val="28251D"/>
          <w:sz w:val="28"/>
          <w:szCs w:val="28"/>
        </w:rPr>
        <w:t xml:space="preserve">7.3 Effet net pour le salarié</w:t>
      </w:r>
    </w:p>
    <w:p>
      <w:pPr>
        <w:spacing w:after="120" w:before="0" w:line="300"/>
        <w:jc w:val="both"/>
      </w:pPr>
      <w:r>
        <w:rPr>
          <w:sz w:val="22"/>
          <w:szCs w:val="22"/>
        </w:rPr>
        <w:t xml:space="preserve">Compte tenu de la progressivité de l’IRPP et du poids des cotisations sociales, l’effet net d’une augmentation de 5 % du salaire brut se situe en pratique entre 3 % et 4 % de pouvoir d’achat additionnel selon la tranche d’imposition. Cet écart explique en partie la différence entre la hausse nominale annoncée et la perception qu’en ont les salariés</w:t>
      </w:r>
      <w:r>
        <w:rPr>
          <w:rStyle w:val="FootnoteReference"/>
        </w:rPr>
        <w:footnoteReference w:id="22"/>
      </w:r>
      <w:r>
        <w:rPr>
          <w:sz w:val="22"/>
          <w:szCs w:val="22"/>
        </w:rPr>
        <w:t xml:space="preserve">.</w:t>
      </w:r>
    </w:p>
    <w:p>
      <w:pPr>
        <w:pStyle w:val="Heading1"/>
        <w:pageBreakBefore/>
        <w:spacing w:after="200" w:before="240"/>
      </w:pPr>
      <w:r>
        <w:rPr>
          <w:rFonts w:ascii="Calibri" w:cs="Calibri" w:eastAsia="Calibri" w:hAnsi="Calibri"/>
          <w:b/>
          <w:bCs/>
          <w:color w:val="01696F"/>
          <w:sz w:val="36"/>
          <w:szCs w:val="36"/>
        </w:rPr>
        <w:t xml:space="preserve">8. Analyse par secteur d’activité</w:t>
      </w:r>
    </w:p>
    <w:p>
      <w:pPr>
        <w:spacing w:after="120" w:before="0" w:line="300"/>
        <w:jc w:val="both"/>
      </w:pPr>
      <w:r>
        <w:rPr>
          <w:b w:val="false"/>
          <w:bCs w:val="false"/>
          <w:i w:val="false"/>
          <w:iCs w:val="false"/>
          <w:color w:val="28251D"/>
          <w:sz w:val="22"/>
          <w:szCs w:val="22"/>
        </w:rPr>
        <w:t xml:space="preserve">L’application des décrets n° 63 et 68 de 2026 ne produit pas les mêmes effets selon les secteurs économiques. Cette section propose une lecture opérationnelle pour les principaux secteurs d’activité tunisiens.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1800"/>
        <w:gridCol w:w="2960"/>
      </w:tblGrid>
      <w:tr>
        <w:trPr>
          <w:tblHeader/>
        </w:trPr>
        <w:tc>
          <w:tcPr>
            <w:tcW w:type="dxa" w:w="22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Secteur</w:t>
            </w:r>
          </w:p>
        </w:tc>
        <w:tc>
          <w:tcPr>
            <w:tcW w:type="dxa" w:w="24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Régime applicable</w:t>
            </w:r>
          </w:p>
        </w:tc>
        <w:tc>
          <w:tcPr>
            <w:tcW w:type="dxa" w:w="180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Sensibilité à la hausse</w:t>
            </w:r>
          </w:p>
        </w:tc>
        <w:tc>
          <w:tcPr>
            <w:tcW w:type="dxa" w:w="2960"/>
            <w:tcBorders>
              <w:top w:val="single" w:color="D4D1CA" w:sz="4"/>
              <w:left w:val="single" w:color="D4D1CA" w:sz="4"/>
              <w:bottom w:val="single" w:color="D4D1CA" w:sz="4"/>
              <w:right w:val="single" w:color="D4D1CA" w:sz="4"/>
            </w:tcBorders>
            <w:shd w:fill="01696F" w:color="auto" w:val="clear"/>
            <w:tcMar>
              <w:top w:type="dxa" w:w="100"/>
              <w:left w:type="dxa" w:w="120"/>
              <w:bottom w:type="dxa" w:w="100"/>
              <w:right w:type="dxa" w:w="120"/>
            </w:tcMar>
          </w:tcPr>
          <w:p>
            <w:pPr>
              <w:jc w:val="center"/>
            </w:pPr>
            <w:r>
              <w:rPr>
                <w:rFonts w:ascii="Calibri" w:cs="Calibri" w:eastAsia="Calibri" w:hAnsi="Calibri"/>
                <w:b/>
                <w:bCs/>
                <w:color w:val="FFFFFF"/>
                <w:sz w:val="20"/>
                <w:szCs w:val="20"/>
              </w:rPr>
              <w:t xml:space="preserve">Points de vigilance</w:t>
            </w:r>
          </w:p>
        </w:tc>
      </w:tr>
      <w:tr>
        <w:tc>
          <w:tcPr>
            <w:tcW w:type="dxa" w:w="22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Administration publique</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Décret n° 63/2026</w:t>
            </w:r>
          </w:p>
        </w:tc>
        <w:tc>
          <w:tcPr>
            <w:tcW w:type="dxa" w:w="18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Forte</w:t>
            </w:r>
          </w:p>
        </w:tc>
        <w:tc>
          <w:tcPr>
            <w:tcW w:type="dxa" w:w="2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Compatibilité des primes, non‑cumul, impact sur retraites CNRPS</w:t>
            </w:r>
          </w:p>
        </w:tc>
      </w:tr>
      <w:tr>
        <w:tc>
          <w:tcPr>
            <w:tcW w:type="dxa" w:w="22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Industrie manufacturière</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 collective + décret n° 68/2026</w:t>
            </w:r>
          </w:p>
        </w:tc>
        <w:tc>
          <w:tcPr>
            <w:tcW w:type="dxa" w:w="18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Forte</w:t>
            </w:r>
          </w:p>
        </w:tc>
        <w:tc>
          <w:tcPr>
            <w:tcW w:type="dxa" w:w="29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Coût de l’effet composé sur 3 ans, négociation interne</w:t>
            </w:r>
          </w:p>
        </w:tc>
      </w:tr>
      <w:tr>
        <w:tc>
          <w:tcPr>
            <w:tcW w:type="dxa" w:w="22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BTP</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 collective sectorielle</w:t>
            </w:r>
          </w:p>
        </w:tc>
        <w:tc>
          <w:tcPr>
            <w:tcW w:type="dxa" w:w="18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Forte</w:t>
            </w:r>
          </w:p>
        </w:tc>
        <w:tc>
          <w:tcPr>
            <w:tcW w:type="dxa" w:w="2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Forte intensité de main‑d’œuvre, sous‑traitance, marchés publics</w:t>
            </w:r>
          </w:p>
        </w:tc>
      </w:tr>
      <w:tr>
        <w:tc>
          <w:tcPr>
            <w:tcW w:type="dxa" w:w="22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Tourisme et hôtellerie</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 collective sectorielle</w:t>
            </w:r>
          </w:p>
        </w:tc>
        <w:tc>
          <w:tcPr>
            <w:tcW w:type="dxa" w:w="18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Moyenne à forte</w:t>
            </w:r>
          </w:p>
        </w:tc>
        <w:tc>
          <w:tcPr>
            <w:tcW w:type="dxa" w:w="29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Saisonnalité, marges sous pression, accord avance UGTT 2025</w:t>
            </w:r>
          </w:p>
        </w:tc>
      </w:tr>
      <w:tr>
        <w:tc>
          <w:tcPr>
            <w:tcW w:type="dxa" w:w="22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Commerce et grandes surfaces</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 collective sectorielle</w:t>
            </w:r>
          </w:p>
        </w:tc>
        <w:tc>
          <w:tcPr>
            <w:tcW w:type="dxa" w:w="18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Forte</w:t>
            </w:r>
          </w:p>
        </w:tc>
        <w:tc>
          <w:tcPr>
            <w:tcW w:type="dxa" w:w="2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Accord UGTT‑UTICA janv. 2026, avance déjà négociée</w:t>
            </w:r>
          </w:p>
        </w:tc>
      </w:tr>
      <w:tr>
        <w:tc>
          <w:tcPr>
            <w:tcW w:type="dxa" w:w="22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Agriculture</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Décret n° 66/2026 (SMAG)</w:t>
            </w:r>
          </w:p>
        </w:tc>
        <w:tc>
          <w:tcPr>
            <w:tcW w:type="dxa" w:w="18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Forte</w:t>
            </w:r>
          </w:p>
        </w:tc>
        <w:tc>
          <w:tcPr>
            <w:tcW w:type="dxa" w:w="29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Travailleurs saisonniers, primes de technicité, contrôle CNSS</w:t>
            </w:r>
          </w:p>
        </w:tc>
      </w:tr>
      <w:tr>
        <w:tc>
          <w:tcPr>
            <w:tcW w:type="dxa" w:w="22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Services et conseil</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 collective sectorielle</w:t>
            </w:r>
          </w:p>
        </w:tc>
        <w:tc>
          <w:tcPr>
            <w:tcW w:type="dxa" w:w="18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Variable</w:t>
            </w:r>
          </w:p>
        </w:tc>
        <w:tc>
          <w:tcPr>
            <w:tcW w:type="dxa" w:w="2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Salaires souvent supérieurs aux planchers, pression concurrentielle</w:t>
            </w:r>
          </w:p>
        </w:tc>
      </w:tr>
      <w:tr>
        <w:tc>
          <w:tcPr>
            <w:tcW w:type="dxa" w:w="22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Banque, assurance, finance</w:t>
            </w:r>
          </w:p>
        </w:tc>
        <w:tc>
          <w:tcPr>
            <w:tcW w:type="dxa" w:w="24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Conventions catégorielles</w:t>
            </w:r>
          </w:p>
        </w:tc>
        <w:tc>
          <w:tcPr>
            <w:tcW w:type="dxa" w:w="180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Modérée</w:t>
            </w:r>
          </w:p>
        </w:tc>
        <w:tc>
          <w:tcPr>
            <w:tcW w:type="dxa" w:w="2960"/>
            <w:tcBorders>
              <w:top w:val="single" w:color="D4D1CA" w:sz="4"/>
              <w:left w:val="single" w:color="D4D1CA" w:sz="4"/>
              <w:bottom w:val="single" w:color="D4D1CA" w:sz="4"/>
              <w:right w:val="single" w:color="D4D1CA" w:sz="4"/>
            </w:tcBorders>
            <w:shd w:fill="F9F8F5"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Salaires structurellement au‑dessus du SMIG, attention à la grille interne</w:t>
            </w:r>
          </w:p>
        </w:tc>
      </w:tr>
      <w:tr>
        <w:tc>
          <w:tcPr>
            <w:tcW w:type="dxa" w:w="22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left"/>
            </w:pPr>
            <w:r>
              <w:rPr>
                <w:rFonts w:ascii="Calibri" w:cs="Calibri" w:eastAsia="Calibri" w:hAnsi="Calibri"/>
                <w:b w:val="false"/>
                <w:bCs w:val="false"/>
                <w:color w:val="28251D"/>
                <w:sz w:val="20"/>
                <w:szCs w:val="20"/>
              </w:rPr>
              <w:t xml:space="preserve">Numérique et offshore</w:t>
            </w:r>
          </w:p>
        </w:tc>
        <w:tc>
          <w:tcPr>
            <w:tcW w:type="dxa" w:w="24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Conventions et contrats</w:t>
            </w:r>
          </w:p>
        </w:tc>
        <w:tc>
          <w:tcPr>
            <w:tcW w:type="dxa" w:w="180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Modérée</w:t>
            </w:r>
          </w:p>
        </w:tc>
        <w:tc>
          <w:tcPr>
            <w:tcW w:type="dxa" w:w="2960"/>
            <w:tcBorders>
              <w:top w:val="single" w:color="D4D1CA" w:sz="4"/>
              <w:left w:val="single" w:color="D4D1CA" w:sz="4"/>
              <w:bottom w:val="single" w:color="D4D1CA" w:sz="4"/>
              <w:right w:val="single" w:color="D4D1CA" w:sz="4"/>
            </w:tcBorders>
            <w:shd w:fill="FFFFFF" w:color="auto" w:val="clear"/>
            <w:tcMar>
              <w:top w:type="dxa" w:w="100"/>
              <w:left w:type="dxa" w:w="120"/>
              <w:bottom w:type="dxa" w:w="100"/>
              <w:right w:type="dxa" w:w="120"/>
            </w:tcMar>
          </w:tcPr>
          <w:p>
            <w:pPr>
              <w:jc w:val="center"/>
            </w:pPr>
            <w:r>
              <w:rPr>
                <w:rFonts w:ascii="Calibri" w:cs="Calibri" w:eastAsia="Calibri" w:hAnsi="Calibri"/>
                <w:b w:val="false"/>
                <w:bCs w:val="false"/>
                <w:color w:val="28251D"/>
                <w:sz w:val="20"/>
                <w:szCs w:val="20"/>
              </w:rPr>
              <w:t xml:space="preserve">Salaires supérieurs aux planchers, enjeu d’attractivité</w:t>
            </w:r>
          </w:p>
        </w:tc>
      </w:tr>
    </w:tbl>
    <w:p>
      <w:pPr>
        <w:pStyle w:val="Heading1"/>
        <w:pageBreakBefore/>
        <w:spacing w:after="200" w:before="240"/>
      </w:pPr>
      <w:r>
        <w:rPr>
          <w:rFonts w:ascii="Calibri" w:cs="Calibri" w:eastAsia="Calibri" w:hAnsi="Calibri"/>
          <w:b/>
          <w:bCs/>
          <w:color w:val="01696F"/>
          <w:sz w:val="36"/>
          <w:szCs w:val="36"/>
        </w:rPr>
        <w:t xml:space="preserve">9. Perspectives et recommandations</w:t>
      </w:r>
    </w:p>
    <w:p>
      <w:pPr>
        <w:pStyle w:val="Heading2"/>
        <w:spacing w:after="140" w:before="280"/>
      </w:pPr>
      <w:r>
        <w:rPr>
          <w:rFonts w:ascii="Calibri" w:cs="Calibri" w:eastAsia="Calibri" w:hAnsi="Calibri"/>
          <w:b/>
          <w:bCs/>
          <w:color w:val="28251D"/>
          <w:sz w:val="28"/>
          <w:szCs w:val="28"/>
        </w:rPr>
        <w:t xml:space="preserve">9.1 Pour les directions financières et RH</w:t>
      </w:r>
    </w:p>
    <w:p>
      <w:pPr>
        <w:pStyle w:val="ListParagraph"/>
        <w:numPr>
          <w:ilvl w:val="0"/>
          <w:numId w:val="2"/>
        </w:numPr>
        <w:spacing w:after="80" w:line="280"/>
      </w:pPr>
      <w:r>
        <w:rPr>
          <w:color w:val="28251D"/>
          <w:sz w:val="22"/>
          <w:szCs w:val="22"/>
        </w:rPr>
        <w:t xml:space="preserve">Mettre à jour, dès le deuxième trimestre 2026, les paramétrages de paie pour intégrer le nouveau SMIG, le nouveau SMAG et le coefficient de 5 % sur les salaires conventionnels.</w:t>
      </w:r>
    </w:p>
    <w:p>
      <w:pPr>
        <w:pStyle w:val="ListParagraph"/>
        <w:numPr>
          <w:ilvl w:val="0"/>
          <w:numId w:val="2"/>
        </w:numPr>
        <w:spacing w:after="80" w:line="280"/>
      </w:pPr>
      <w:r>
        <w:rPr>
          <w:color w:val="28251D"/>
          <w:sz w:val="22"/>
          <w:szCs w:val="22"/>
        </w:rPr>
        <w:t xml:space="preserve">Reconstruire les budgets prévisionnels 2026‑2028 en projetant l’effet composé des hausses sur la masse salariale brute, les charges patronales et les provisions sociales.</w:t>
      </w:r>
    </w:p>
    <w:p>
      <w:pPr>
        <w:pStyle w:val="ListParagraph"/>
        <w:numPr>
          <w:ilvl w:val="0"/>
          <w:numId w:val="2"/>
        </w:numPr>
        <w:spacing w:after="80" w:line="280"/>
      </w:pPr>
      <w:r>
        <w:rPr>
          <w:color w:val="28251D"/>
          <w:sz w:val="22"/>
          <w:szCs w:val="22"/>
        </w:rPr>
        <w:t xml:space="preserve">Cartographier les salariés rémunérés à proximité du SMIG ou des minima conventionnels pour identifier ceux qui bénéficient mécaniquement des décrets n° 67 et n° 68 de 2026.</w:t>
      </w:r>
    </w:p>
    <w:p>
      <w:pPr>
        <w:pStyle w:val="ListParagraph"/>
        <w:numPr>
          <w:ilvl w:val="0"/>
          <w:numId w:val="2"/>
        </w:numPr>
        <w:spacing w:after="80" w:line="280"/>
      </w:pPr>
      <w:r>
        <w:rPr>
          <w:color w:val="28251D"/>
          <w:sz w:val="22"/>
          <w:szCs w:val="22"/>
        </w:rPr>
        <w:t xml:space="preserve">Vérifier la cohérence entre les grilles internes, les conventions collectives applicables et les nouveaux planchers afin d’éviter tout risque de contentieux prud’homal.</w:t>
      </w:r>
    </w:p>
    <w:p>
      <w:pPr>
        <w:pStyle w:val="Heading2"/>
        <w:spacing w:after="140" w:before="280"/>
      </w:pPr>
      <w:r>
        <w:rPr>
          <w:rFonts w:ascii="Calibri" w:cs="Calibri" w:eastAsia="Calibri" w:hAnsi="Calibri"/>
          <w:b/>
          <w:bCs/>
          <w:color w:val="28251D"/>
          <w:sz w:val="28"/>
          <w:szCs w:val="28"/>
        </w:rPr>
        <w:t xml:space="preserve">9.2 Pour les chefs d’entreprise et dirigeants</w:t>
      </w:r>
    </w:p>
    <w:p>
      <w:pPr>
        <w:pStyle w:val="ListParagraph"/>
        <w:numPr>
          <w:ilvl w:val="0"/>
          <w:numId w:val="2"/>
        </w:numPr>
        <w:spacing w:after="80" w:line="280"/>
      </w:pPr>
      <w:r>
        <w:rPr>
          <w:color w:val="28251D"/>
          <w:sz w:val="22"/>
          <w:szCs w:val="22"/>
        </w:rPr>
        <w:t xml:space="preserve">Anticiper l’impact sur la marge opérationnelle, particulièrement dans les secteurs à forte intensité de main‑d’œuvre (BTP, tourisme, agriculture, distribution).</w:t>
      </w:r>
    </w:p>
    <w:p>
      <w:pPr>
        <w:pStyle w:val="ListParagraph"/>
        <w:numPr>
          <w:ilvl w:val="0"/>
          <w:numId w:val="2"/>
        </w:numPr>
        <w:spacing w:after="80" w:line="280"/>
      </w:pPr>
      <w:r>
        <w:rPr>
          <w:color w:val="28251D"/>
          <w:sz w:val="22"/>
          <w:szCs w:val="22"/>
        </w:rPr>
        <w:t xml:space="preserve">Engager un dialogue social structuré pour articuler les hausses légales et les éventuelles primes de performance, en évitant les effets d’aubaine.</w:t>
      </w:r>
    </w:p>
    <w:p>
      <w:pPr>
        <w:pStyle w:val="ListParagraph"/>
        <w:numPr>
          <w:ilvl w:val="0"/>
          <w:numId w:val="2"/>
        </w:numPr>
        <w:spacing w:after="80" w:line="280"/>
      </w:pPr>
      <w:r>
        <w:rPr>
          <w:color w:val="28251D"/>
          <w:sz w:val="22"/>
          <w:szCs w:val="22"/>
        </w:rPr>
        <w:t xml:space="preserve">Saisir l’occasion pour revoir les politiques de rétention et d’attractivité, en particulier sur les profils techniques (ingénierie, informatique, santé) ciblés par le décret n° 63 de 2026 dans le secteur public, qui crée une pression concurrentielle sur le privé.</w:t>
      </w:r>
    </w:p>
    <w:p>
      <w:pPr>
        <w:pStyle w:val="ListParagraph"/>
        <w:numPr>
          <w:ilvl w:val="0"/>
          <w:numId w:val="2"/>
        </w:numPr>
        <w:spacing w:after="80" w:line="280"/>
      </w:pPr>
      <w:r>
        <w:rPr>
          <w:color w:val="28251D"/>
          <w:sz w:val="22"/>
          <w:szCs w:val="22"/>
        </w:rPr>
        <w:t xml:space="preserve">Documenter rigoureusement chaque revalorisation pour répondre, le cas échéant, aux contrôles de l’inspection du travail et de la CNSS.</w:t>
      </w:r>
    </w:p>
    <w:p>
      <w:pPr>
        <w:pStyle w:val="Heading2"/>
        <w:spacing w:after="140" w:before="280"/>
      </w:pPr>
      <w:r>
        <w:rPr>
          <w:rFonts w:ascii="Calibri" w:cs="Calibri" w:eastAsia="Calibri" w:hAnsi="Calibri"/>
          <w:b/>
          <w:bCs/>
          <w:color w:val="28251D"/>
          <w:sz w:val="28"/>
          <w:szCs w:val="28"/>
        </w:rPr>
        <w:t xml:space="preserve">9.3 Pour les experts‑comptables et conseils</w:t>
      </w:r>
    </w:p>
    <w:p>
      <w:pPr>
        <w:pStyle w:val="ListParagraph"/>
        <w:numPr>
          <w:ilvl w:val="0"/>
          <w:numId w:val="2"/>
        </w:numPr>
        <w:spacing w:after="80" w:line="280"/>
      </w:pPr>
      <w:r>
        <w:rPr>
          <w:color w:val="28251D"/>
          <w:sz w:val="22"/>
          <w:szCs w:val="22"/>
        </w:rPr>
        <w:t xml:space="preserve">Systématiser une note d’information à destination des clients employeurs récapitulant les décrets n° 63, 66, 67, 68 et 69 de 2026 et leur calendrier d’application.</w:t>
      </w:r>
    </w:p>
    <w:p>
      <w:pPr>
        <w:pStyle w:val="ListParagraph"/>
        <w:numPr>
          <w:ilvl w:val="0"/>
          <w:numId w:val="2"/>
        </w:numPr>
        <w:spacing w:after="80" w:line="280"/>
      </w:pPr>
      <w:r>
        <w:rPr>
          <w:color w:val="28251D"/>
          <w:sz w:val="22"/>
          <w:szCs w:val="22"/>
        </w:rPr>
        <w:t xml:space="preserve">Proposer des simulations chiffrées personnalisées sur l’effet 2026‑2028 pour différentes configurations d’effectif et de masse salariale.</w:t>
      </w:r>
    </w:p>
    <w:p>
      <w:pPr>
        <w:pStyle w:val="ListParagraph"/>
        <w:numPr>
          <w:ilvl w:val="0"/>
          <w:numId w:val="2"/>
        </w:numPr>
        <w:spacing w:after="80" w:line="280"/>
      </w:pPr>
      <w:r>
        <w:rPr>
          <w:color w:val="28251D"/>
          <w:sz w:val="22"/>
          <w:szCs w:val="22"/>
        </w:rPr>
        <w:t xml:space="preserve">Actualiser les check‑lists d’audit social et de conformité paie afin d’intégrer les contrôles spécifiques liés au respect du SMIG, du SMAG et des coefficients conventionnels.</w:t>
      </w:r>
    </w:p>
    <w:p>
      <w:pPr>
        <w:pStyle w:val="ListParagraph"/>
        <w:numPr>
          <w:ilvl w:val="0"/>
          <w:numId w:val="2"/>
        </w:numPr>
        <w:spacing w:after="80" w:line="280"/>
      </w:pPr>
      <w:r>
        <w:rPr>
          <w:color w:val="28251D"/>
          <w:sz w:val="22"/>
          <w:szCs w:val="22"/>
        </w:rPr>
        <w:t xml:space="preserve">Accompagner la mise en conformité documentaire : avenants aux contrats, mises à jour des bulletins de paie, actualisation des soldes de tout compte.</w:t>
      </w:r>
    </w:p>
    <w:p>
      <w:pPr>
        <w:pStyle w:val="Heading2"/>
        <w:spacing w:after="140" w:before="280"/>
      </w:pPr>
      <w:r>
        <w:rPr>
          <w:rFonts w:ascii="Calibri" w:cs="Calibri" w:eastAsia="Calibri" w:hAnsi="Calibri"/>
          <w:b/>
          <w:bCs/>
          <w:color w:val="28251D"/>
          <w:sz w:val="28"/>
          <w:szCs w:val="28"/>
        </w:rPr>
        <w:t xml:space="preserve">9.4 Pour les salariés et représentants du personnel</w:t>
      </w:r>
    </w:p>
    <w:p>
      <w:pPr>
        <w:pStyle w:val="ListParagraph"/>
        <w:numPr>
          <w:ilvl w:val="0"/>
          <w:numId w:val="2"/>
        </w:numPr>
        <w:spacing w:after="80" w:line="280"/>
      </w:pPr>
      <w:r>
        <w:rPr>
          <w:color w:val="28251D"/>
          <w:sz w:val="22"/>
          <w:szCs w:val="22"/>
        </w:rPr>
        <w:t xml:space="preserve">Vérifier sur le bulletin de paie l’application effective des nouveaux montants au titre du SMIG, du SMAG et du coefficient sectoriel de 5 %.</w:t>
      </w:r>
    </w:p>
    <w:p>
      <w:pPr>
        <w:pStyle w:val="ListParagraph"/>
        <w:numPr>
          <w:ilvl w:val="0"/>
          <w:numId w:val="2"/>
        </w:numPr>
        <w:spacing w:after="80" w:line="280"/>
      </w:pPr>
      <w:r>
        <w:rPr>
          <w:color w:val="28251D"/>
          <w:sz w:val="22"/>
          <w:szCs w:val="22"/>
        </w:rPr>
        <w:t xml:space="preserve">Valider l’impact de la revalorisation sur la base de cotisation CNSS, notamment pour les retraites futures.</w:t>
      </w:r>
    </w:p>
    <w:p>
      <w:pPr>
        <w:pStyle w:val="ListParagraph"/>
        <w:numPr>
          <w:ilvl w:val="0"/>
          <w:numId w:val="2"/>
        </w:numPr>
        <w:spacing w:after="80" w:line="280"/>
      </w:pPr>
      <w:r>
        <w:rPr>
          <w:color w:val="28251D"/>
          <w:sz w:val="22"/>
          <w:szCs w:val="22"/>
        </w:rPr>
        <w:t xml:space="preserve">Engager, le cas échéant, une médiation conventionnelle ou syndicale en cas d’absence d’application des décrets dans l’entreprise.</w:t>
      </w:r>
    </w:p>
    <w:p>
      <w:pPr>
        <w:pStyle w:val="Heading2"/>
        <w:spacing w:after="140" w:before="280"/>
      </w:pPr>
      <w:r>
        <w:rPr>
          <w:rFonts w:ascii="Calibri" w:cs="Calibri" w:eastAsia="Calibri" w:hAnsi="Calibri"/>
          <w:b/>
          <w:bCs/>
          <w:color w:val="28251D"/>
          <w:sz w:val="28"/>
          <w:szCs w:val="28"/>
        </w:rPr>
        <w:t xml:space="preserve">9.5 Limites et points d’attention</w:t>
      </w:r>
    </w:p>
    <w:p>
      <w:pPr>
        <w:pStyle w:val="ListParagraph"/>
        <w:numPr>
          <w:ilvl w:val="0"/>
          <w:numId w:val="2"/>
        </w:numPr>
        <w:spacing w:after="80" w:line="280"/>
      </w:pPr>
      <w:r>
        <w:rPr>
          <w:b/>
          <w:bCs/>
          <w:sz w:val="22"/>
          <w:szCs w:val="22"/>
        </w:rPr>
        <w:t xml:space="preserve">Inflation persistante : </w:t>
      </w:r>
      <w:r>
        <w:rPr>
          <w:sz w:val="22"/>
          <w:szCs w:val="22"/>
        </w:rPr>
        <w:t xml:space="preserve">à un taux d’inflation moyen autour de 7‑9 %, une hausse de 5 % par an ne couvre pas l’érosion réelle du pouvoir d’achat sur la période</w:t>
      </w:r>
      <w:r>
        <w:rPr>
          <w:rStyle w:val="FootnoteReference"/>
        </w:rPr>
        <w:footnoteReference w:id="23"/>
      </w:r>
      <w:r>
        <w:rPr>
          <w:sz w:val="22"/>
          <w:szCs w:val="22"/>
        </w:rPr>
        <w:t xml:space="preserve">.</w:t>
      </w:r>
    </w:p>
    <w:p>
      <w:pPr>
        <w:pStyle w:val="ListParagraph"/>
        <w:numPr>
          <w:ilvl w:val="0"/>
          <w:numId w:val="2"/>
        </w:numPr>
        <w:spacing w:after="80" w:line="280"/>
      </w:pPr>
      <w:r>
        <w:rPr>
          <w:b/>
          <w:bCs/>
          <w:sz w:val="22"/>
          <w:szCs w:val="22"/>
        </w:rPr>
        <w:t xml:space="preserve">Article 15 : </w:t>
      </w:r>
      <w:r>
        <w:rPr>
          <w:sz w:val="22"/>
          <w:szCs w:val="22"/>
        </w:rPr>
        <w:t xml:space="preserve">plusieurs députés avaient proposé un plancher minimal d’augmentation de 7 %, ultérieurement non retenu dans la version définitive</w:t>
      </w:r>
      <w:r>
        <w:rPr>
          <w:rStyle w:val="FootnoteReference"/>
        </w:rPr>
        <w:footnoteReference w:id="24"/>
      </w:r>
      <w:r>
        <w:rPr>
          <w:sz w:val="22"/>
          <w:szCs w:val="22"/>
        </w:rPr>
        <w:t xml:space="preserve">.</w:t>
      </w:r>
    </w:p>
    <w:p>
      <w:pPr>
        <w:pStyle w:val="ListParagraph"/>
        <w:numPr>
          <w:ilvl w:val="0"/>
          <w:numId w:val="2"/>
        </w:numPr>
        <w:spacing w:after="80" w:line="280"/>
      </w:pPr>
      <w:r>
        <w:rPr>
          <w:color w:val="28251D"/>
          <w:sz w:val="22"/>
          <w:szCs w:val="22"/>
        </w:rPr>
        <w:t xml:space="preserve">Le risque budgétaire reste important : la masse salariale publique pèse durablement sur le solde de l’État et conditionne la soutenabilité du dispositif au‑delà de 2028.</w:t>
      </w:r>
    </w:p>
    <w:p>
      <w:pPr>
        <w:pStyle w:val="ListParagraph"/>
        <w:numPr>
          <w:ilvl w:val="0"/>
          <w:numId w:val="2"/>
        </w:numPr>
        <w:spacing w:after="80" w:line="280"/>
      </w:pPr>
      <w:r>
        <w:rPr>
          <w:color w:val="28251D"/>
          <w:sz w:val="22"/>
          <w:szCs w:val="22"/>
        </w:rPr>
        <w:t xml:space="preserve">La mise en œuvre dans le secteur privé dépendra de la capacité de l’inspection du travail à contrôler effectivement l’application des décrets, en particulier dans les TPE et le secteur informel.</w:t>
      </w:r>
    </w:p>
    <w:p>
      <w:pPr>
        <w:pStyle w:val="Heading1"/>
        <w:pageBreakBefore/>
        <w:spacing w:after="200" w:before="240"/>
      </w:pPr>
      <w:r>
        <w:rPr>
          <w:rFonts w:ascii="Calibri" w:cs="Calibri" w:eastAsia="Calibri" w:hAnsi="Calibri"/>
          <w:b/>
          <w:bCs/>
          <w:color w:val="01696F"/>
          <w:sz w:val="36"/>
          <w:szCs w:val="36"/>
        </w:rPr>
        <w:t xml:space="preserve">10. Conclusion</w:t>
      </w:r>
    </w:p>
    <w:p>
      <w:pPr>
        <w:spacing w:after="120" w:before="0" w:line="300"/>
        <w:jc w:val="both"/>
      </w:pPr>
      <w:r>
        <w:rPr>
          <w:sz w:val="22"/>
          <w:szCs w:val="22"/>
        </w:rPr>
        <w:t xml:space="preserve">Le dispositif salarial 2026‑2028, désormais juridiquement complet grâce aux décrets n° 63, 66, 67, 68 et 69 de 2026, constitue le compromis le plus structuré établi depuis la dernière vague d’accords UGTT‑UTICA 2023‑2025</w:t>
      </w:r>
      <w:r>
        <w:rPr>
          <w:rStyle w:val="FootnoteReference"/>
        </w:rPr>
        <w:footnoteReference w:id="25"/>
      </w:r>
      <w:r>
        <w:rPr>
          <w:sz w:val="22"/>
          <w:szCs w:val="22"/>
        </w:rPr>
        <w:t xml:space="preserve">. Il combine une hausse différenciée dans la fonction publique, un coefficient unifié de 5 % par an dans le secteur privé conventionné, et une revalorisation simultanée du SMIG, du SMAG et des pensions.</w:t>
      </w:r>
    </w:p>
    <w:p>
      <w:pPr>
        <w:spacing w:after="120" w:before="0" w:line="300"/>
        <w:jc w:val="both"/>
      </w:pPr>
      <w:r>
        <w:rPr>
          <w:b w:val="false"/>
          <w:bCs w:val="false"/>
          <w:i w:val="false"/>
          <w:iCs w:val="false"/>
          <w:color w:val="28251D"/>
          <w:sz w:val="22"/>
          <w:szCs w:val="22"/>
        </w:rPr>
        <w:t xml:space="preserve">Pour les employeurs, ce dispositif appelle une mise à jour rigoureuse de la paie, une reconstruction des budgets pluriannuels et une anticipation des effets de seuil sur les grilles internes. Pour les salariés et les retraités, il offre une visibilité bienvenue, sans toutefois suffire à compenser entièrement l’érosion du pouvoir d’achat constatée depuis 2015.</w:t>
      </w:r>
    </w:p>
    <w:p>
      <w:pPr>
        <w:spacing w:after="120" w:before="0" w:line="300"/>
        <w:jc w:val="both"/>
      </w:pPr>
      <w:r>
        <w:rPr>
          <w:b w:val="false"/>
          <w:bCs w:val="false"/>
          <w:i w:val="false"/>
          <w:iCs w:val="false"/>
          <w:color w:val="28251D"/>
          <w:sz w:val="22"/>
          <w:szCs w:val="22"/>
        </w:rPr>
        <w:t xml:space="preserve">Au‑delà de 2028, l’enjeu sera double : maintenir la trajectoire de revalorisation tout en assurant la soutenabilité budgétaire, et réussir à indexer plus finement les salaires sur l’inflation réellement vécue par les ménages, plutôt que sur les seuls indicateurs officiels. C’est sur ce terrain que devraient se concentrer les prochaines négociations entre l’État, l’UGTT et l’UTICA.</w:t>
      </w:r>
    </w:p>
    <w:p>
      <w:pPr>
        <w:pStyle w:val="Heading1"/>
        <w:pageBreakBefore/>
        <w:spacing w:after="200" w:before="240"/>
      </w:pPr>
      <w:r>
        <w:rPr>
          <w:rFonts w:ascii="Calibri" w:cs="Calibri" w:eastAsia="Calibri" w:hAnsi="Calibri"/>
          <w:b/>
          <w:bCs/>
          <w:color w:val="01696F"/>
          <w:sz w:val="36"/>
          <w:szCs w:val="36"/>
        </w:rPr>
        <w:t xml:space="preserve">11. Annexes</w:t>
      </w:r>
    </w:p>
    <w:p>
      <w:pPr>
        <w:pStyle w:val="Heading2"/>
        <w:spacing w:after="140" w:before="280"/>
      </w:pPr>
      <w:r>
        <w:rPr>
          <w:rFonts w:ascii="Calibri" w:cs="Calibri" w:eastAsia="Calibri" w:hAnsi="Calibri"/>
          <w:b/>
          <w:bCs/>
          <w:color w:val="28251D"/>
          <w:sz w:val="28"/>
          <w:szCs w:val="28"/>
        </w:rPr>
        <w:t xml:space="preserve">Annexe A — Liste des décrets de référence</w:t>
      </w:r>
    </w:p>
    <w:p>
      <w:pPr>
        <w:pStyle w:val="ListParagraph"/>
        <w:numPr>
          <w:ilvl w:val="0"/>
          <w:numId w:val="2"/>
        </w:numPr>
        <w:spacing w:after="80" w:line="280"/>
      </w:pPr>
      <w:r>
        <w:rPr>
          <w:color w:val="28251D"/>
          <w:sz w:val="22"/>
          <w:szCs w:val="22"/>
        </w:rPr>
        <w:t xml:space="preserve">Décret n° 63 de 2026 : modalités des augmentations dans la fonction publique et le secteur public.</w:t>
      </w:r>
    </w:p>
    <w:p>
      <w:pPr>
        <w:pStyle w:val="ListParagraph"/>
        <w:numPr>
          <w:ilvl w:val="0"/>
          <w:numId w:val="2"/>
        </w:numPr>
        <w:spacing w:after="80" w:line="280"/>
      </w:pPr>
      <w:r>
        <w:rPr>
          <w:color w:val="28251D"/>
          <w:sz w:val="22"/>
          <w:szCs w:val="22"/>
        </w:rPr>
        <w:t xml:space="preserve">Décret n° 66 de 2026 : SMAG, prime de technicité et prime des travailleurs qualifiés.</w:t>
      </w:r>
    </w:p>
    <w:p>
      <w:pPr>
        <w:pStyle w:val="ListParagraph"/>
        <w:numPr>
          <w:ilvl w:val="0"/>
          <w:numId w:val="2"/>
        </w:numPr>
        <w:spacing w:after="80" w:line="280"/>
      </w:pPr>
      <w:r>
        <w:rPr>
          <w:color w:val="28251D"/>
          <w:sz w:val="22"/>
          <w:szCs w:val="22"/>
        </w:rPr>
        <w:t xml:space="preserve">Décret n° 67 de 2026 : SMIG non agricole pour 2026, 2027 et 2028.</w:t>
      </w:r>
    </w:p>
    <w:p>
      <w:pPr>
        <w:pStyle w:val="ListParagraph"/>
        <w:numPr>
          <w:ilvl w:val="0"/>
          <w:numId w:val="2"/>
        </w:numPr>
        <w:spacing w:after="80" w:line="280"/>
      </w:pPr>
      <w:r>
        <w:rPr>
          <w:color w:val="28251D"/>
          <w:sz w:val="22"/>
          <w:szCs w:val="22"/>
        </w:rPr>
        <w:t xml:space="preserve">Décret n° 68 de 2026 : augmentation de 5 % par an des salaires de base et primes dans les secteurs régis par les conventions collectives sectorielles.</w:t>
      </w:r>
    </w:p>
    <w:p>
      <w:pPr>
        <w:pStyle w:val="ListParagraph"/>
        <w:numPr>
          <w:ilvl w:val="0"/>
          <w:numId w:val="2"/>
        </w:numPr>
        <w:spacing w:after="80" w:line="280"/>
      </w:pPr>
      <w:r>
        <w:rPr>
          <w:color w:val="28251D"/>
          <w:sz w:val="22"/>
          <w:szCs w:val="22"/>
        </w:rPr>
        <w:t xml:space="preserve">Décret n° 69 de 2026 : extension des augmentations aux pensions de retraite des régimes CNRPS et CNSS.</w:t>
      </w:r>
    </w:p>
    <w:p>
      <w:pPr>
        <w:pStyle w:val="ListParagraph"/>
        <w:numPr>
          <w:ilvl w:val="0"/>
          <w:numId w:val="2"/>
        </w:numPr>
        <w:spacing w:after="80" w:line="280"/>
      </w:pPr>
      <w:r>
        <w:rPr>
          <w:color w:val="28251D"/>
          <w:sz w:val="22"/>
          <w:szCs w:val="22"/>
        </w:rPr>
        <w:t xml:space="preserve">Article 15 de la Loi de finances 2026 : principe de revalorisation pluriannuelle 2026‑2028.</w:t>
      </w:r>
    </w:p>
    <w:p>
      <w:pPr>
        <w:pStyle w:val="Heading2"/>
        <w:spacing w:after="140" w:before="280"/>
      </w:pPr>
      <w:r>
        <w:rPr>
          <w:rFonts w:ascii="Calibri" w:cs="Calibri" w:eastAsia="Calibri" w:hAnsi="Calibri"/>
          <w:b/>
          <w:bCs/>
          <w:color w:val="28251D"/>
          <w:sz w:val="28"/>
          <w:szCs w:val="28"/>
        </w:rPr>
        <w:t xml:space="preserve">Annexe B — Glossaire</w:t>
      </w:r>
    </w:p>
    <w:p>
      <w:pPr>
        <w:pStyle w:val="ListParagraph"/>
        <w:numPr>
          <w:ilvl w:val="0"/>
          <w:numId w:val="2"/>
        </w:numPr>
        <w:spacing w:after="80" w:line="280"/>
      </w:pPr>
      <w:r>
        <w:rPr>
          <w:b/>
          <w:bCs/>
          <w:sz w:val="22"/>
          <w:szCs w:val="22"/>
        </w:rPr>
        <w:t xml:space="preserve">SMIG : </w:t>
      </w:r>
      <w:r>
        <w:rPr>
          <w:sz w:val="22"/>
          <w:szCs w:val="22"/>
        </w:rPr>
        <w:t xml:space="preserve">Salaire minimum interprofessionnel garanti, applicable aux secteurs non agricoles régis par le Code du travail.</w:t>
      </w:r>
    </w:p>
    <w:p>
      <w:pPr>
        <w:pStyle w:val="ListParagraph"/>
        <w:numPr>
          <w:ilvl w:val="0"/>
          <w:numId w:val="2"/>
        </w:numPr>
        <w:spacing w:after="80" w:line="280"/>
      </w:pPr>
      <w:r>
        <w:rPr>
          <w:b/>
          <w:bCs/>
          <w:sz w:val="22"/>
          <w:szCs w:val="22"/>
        </w:rPr>
        <w:t xml:space="preserve">SMAG : </w:t>
      </w:r>
      <w:r>
        <w:rPr>
          <w:sz w:val="22"/>
          <w:szCs w:val="22"/>
        </w:rPr>
        <w:t xml:space="preserve">Salaire minimum agricole garanti, exprimé sur une base journalière.</w:t>
      </w:r>
    </w:p>
    <w:p>
      <w:pPr>
        <w:pStyle w:val="ListParagraph"/>
        <w:numPr>
          <w:ilvl w:val="0"/>
          <w:numId w:val="2"/>
        </w:numPr>
        <w:spacing w:after="80" w:line="280"/>
      </w:pPr>
      <w:r>
        <w:rPr>
          <w:b/>
          <w:bCs/>
          <w:sz w:val="22"/>
          <w:szCs w:val="22"/>
        </w:rPr>
        <w:t xml:space="preserve">CNRPS : </w:t>
      </w:r>
      <w:r>
        <w:rPr>
          <w:sz w:val="22"/>
          <w:szCs w:val="22"/>
        </w:rPr>
        <w:t xml:space="preserve">Caisse nationale de retraite et de prévoyance sociale (régime public).</w:t>
      </w:r>
    </w:p>
    <w:p>
      <w:pPr>
        <w:pStyle w:val="ListParagraph"/>
        <w:numPr>
          <w:ilvl w:val="0"/>
          <w:numId w:val="2"/>
        </w:numPr>
        <w:spacing w:after="80" w:line="280"/>
      </w:pPr>
      <w:r>
        <w:rPr>
          <w:b/>
          <w:bCs/>
          <w:sz w:val="22"/>
          <w:szCs w:val="22"/>
        </w:rPr>
        <w:t xml:space="preserve">CNSS : </w:t>
      </w:r>
      <w:r>
        <w:rPr>
          <w:sz w:val="22"/>
          <w:szCs w:val="22"/>
        </w:rPr>
        <w:t xml:space="preserve">Caisse nationale de sécurité sociale (régime privé).</w:t>
      </w:r>
    </w:p>
    <w:p>
      <w:pPr>
        <w:pStyle w:val="ListParagraph"/>
        <w:numPr>
          <w:ilvl w:val="0"/>
          <w:numId w:val="2"/>
        </w:numPr>
        <w:spacing w:after="80" w:line="280"/>
      </w:pPr>
      <w:r>
        <w:rPr>
          <w:b/>
          <w:bCs/>
          <w:sz w:val="22"/>
          <w:szCs w:val="22"/>
        </w:rPr>
        <w:t xml:space="preserve">IRPP : </w:t>
      </w:r>
      <w:r>
        <w:rPr>
          <w:sz w:val="22"/>
          <w:szCs w:val="22"/>
        </w:rPr>
        <w:t xml:space="preserve">Impôt sur le revenu des personnes physiques.</w:t>
      </w:r>
    </w:p>
    <w:p>
      <w:pPr>
        <w:pStyle w:val="ListParagraph"/>
        <w:numPr>
          <w:ilvl w:val="0"/>
          <w:numId w:val="2"/>
        </w:numPr>
        <w:spacing w:after="80" w:line="280"/>
      </w:pPr>
      <w:r>
        <w:rPr>
          <w:b/>
          <w:bCs/>
          <w:sz w:val="22"/>
          <w:szCs w:val="22"/>
        </w:rPr>
        <w:t xml:space="preserve">JORT : </w:t>
      </w:r>
      <w:r>
        <w:rPr>
          <w:sz w:val="22"/>
          <w:szCs w:val="22"/>
        </w:rPr>
        <w:t xml:space="preserve">Journal officiel de la République tunisienne.</w:t>
      </w:r>
    </w:p>
    <w:p>
      <w:pPr>
        <w:pStyle w:val="ListParagraph"/>
        <w:numPr>
          <w:ilvl w:val="0"/>
          <w:numId w:val="2"/>
        </w:numPr>
        <w:spacing w:after="80" w:line="280"/>
      </w:pPr>
      <w:r>
        <w:rPr>
          <w:b/>
          <w:bCs/>
          <w:sz w:val="22"/>
          <w:szCs w:val="22"/>
        </w:rPr>
        <w:t xml:space="preserve">UGTT / UTICA : </w:t>
      </w:r>
      <w:r>
        <w:rPr>
          <w:sz w:val="22"/>
          <w:szCs w:val="22"/>
        </w:rPr>
        <w:t xml:space="preserve">Centrale syndicale des travailleurs / Confédération patronale (industrie, commerce et artisanat).</w:t>
      </w:r>
    </w:p>
    <w:p>
      <w:pPr>
        <w:pStyle w:val="Heading2"/>
        <w:spacing w:after="140" w:before="280"/>
      </w:pPr>
      <w:r>
        <w:rPr>
          <w:rFonts w:ascii="Calibri" w:cs="Calibri" w:eastAsia="Calibri" w:hAnsi="Calibri"/>
          <w:b/>
          <w:bCs/>
          <w:color w:val="28251D"/>
          <w:sz w:val="28"/>
          <w:szCs w:val="28"/>
        </w:rPr>
        <w:t xml:space="preserve">Annexe C — Méthodologie</w:t>
      </w:r>
    </w:p>
    <w:p>
      <w:pPr>
        <w:spacing w:after="120" w:before="0" w:line="300"/>
        <w:jc w:val="both"/>
      </w:pPr>
      <w:r>
        <w:rPr>
          <w:b w:val="false"/>
          <w:bCs w:val="false"/>
          <w:i w:val="false"/>
          <w:iCs w:val="false"/>
          <w:color w:val="28251D"/>
          <w:sz w:val="22"/>
          <w:szCs w:val="22"/>
        </w:rPr>
        <w:t xml:space="preserve">Ce livre blanc consolide les informations rendues publiques par le Journal officiel de la République tunisienne (décrets de 2026), la presse économique tunisienne de référence (La Presse, Business News, Webdo, Le Temps, Tustex, L’Économiste maghrébin, Nawaat) et l’analyse de spécialistes tunisiens en économie et politique sociale. Les chiffres présentés correspondent aux montants nominaux fixés par les décrets ou à des estimations clairement attribuées à leurs sources. Toute évolution réglementaire postérieure à mai 2026 devra faire l’objet d’une actualisation.</w:t>
      </w:r>
    </w:p>
    <w:p>
      <w:pPr>
        <w:pStyle w:val="Heading2"/>
        <w:spacing w:after="140" w:before="280"/>
      </w:pPr>
      <w:r>
        <w:rPr>
          <w:rFonts w:ascii="Calibri" w:cs="Calibri" w:eastAsia="Calibri" w:hAnsi="Calibri"/>
          <w:b/>
          <w:bCs/>
          <w:color w:val="28251D"/>
          <w:sz w:val="28"/>
          <w:szCs w:val="28"/>
        </w:rPr>
        <w:t xml:space="preserve">Annexe D — Avertissement</w:t>
      </w:r>
    </w:p>
    <w:p>
      <w:pPr>
        <w:spacing w:after="120" w:before="0" w:line="300"/>
        <w:jc w:val="both"/>
      </w:pPr>
      <w:r>
        <w:rPr>
          <w:b w:val="false"/>
          <w:bCs w:val="false"/>
          <w:i w:val="false"/>
          <w:iCs w:val="false"/>
          <w:color w:val="28251D"/>
          <w:sz w:val="22"/>
          <w:szCs w:val="22"/>
        </w:rPr>
        <w:t xml:space="preserve">Ce document a une vocation strictement informationnelle et ne constitue pas un conseil juridique, fiscal ou comptable individualisé. Pour toute application concrète à une entreprise ou à un salarié, il est recommandé de consulter un expert‑comptable, un avocat fiscaliste ou un conseil en droit social qualifié au regard du droit tunisien.</w:t>
      </w:r>
    </w:p>
    <w:sectPr>
      <w:headerReference w:type="default" r:id="rId9"/>
      <w:footerReference w:type="default" r:id="rId10"/>
      <w:pgSz w:w="11906" w:h="16838" w:orient="portrait"/>
      <w:pgMar w:top="1280" w:right="1280" w:bottom="1280" w:left="12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A7974"/>
        <w:sz w:val="18"/>
        <w:szCs w:val="18"/>
      </w:rPr>
      <w:t xml:space="preserve">Page </w:t>
    </w:r>
    <w:r>
      <w:rPr>
        <w:rFonts w:ascii="Calibri" w:cs="Calibri" w:eastAsia="Calibri" w:hAnsi="Calibri"/>
        <w:color w:val="7A7974"/>
        <w:sz w:val="18"/>
        <w:szCs w:val="18"/>
      </w:rPr>
      <w:fldChar w:fldCharType="begin"/>
      <w:instrText xml:space="preserve">PAGE</w:instrText>
      <w:fldChar w:fldCharType="separate"/>
      <w:fldChar w:fldCharType="end"/>
    </w:r>
    <w:r>
      <w:rPr>
        <w:rFonts w:ascii="Calibri" w:cs="Calibri" w:eastAsia="Calibri" w:hAnsi="Calibri"/>
        <w:color w:val="7A7974"/>
        <w:sz w:val="18"/>
        <w:szCs w:val="18"/>
      </w:rPr>
      <w:t xml:space="preserve"> sur </w:t>
    </w:r>
    <w:r>
      <w:rPr>
        <w:rFonts w:ascii="Calibri" w:cs="Calibri" w:eastAsia="Calibri" w:hAnsi="Calibri"/>
        <w:color w:val="7A7974"/>
        <w:sz w:val="18"/>
        <w:szCs w:val="18"/>
      </w:rPr>
      <w:fldChar w:fldCharType="begin"/>
      <w:instrText xml:space="preserve">NUMPAGES</w:instrText>
      <w:fldChar w:fldCharType="separate"/>
      <w:fldChar w:fldCharType="end"/>
    </w:r>
    <w:r>
      <w:rPr>
        <w:rFonts w:ascii="Calibri" w:cs="Calibri" w:eastAsia="Calibri" w:hAnsi="Calibri"/>
        <w:color w:val="7A7974"/>
        <w:sz w:val="18"/>
        <w:szCs w:val="18"/>
      </w:rPr>
      <w:t xml:space="preserve">   ·   Édition Mai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sz w:val="18"/>
          <w:szCs w:val="18"/>
        </w:rPr>
        <w:t xml:space="preserve">La Presse, « Détails de l’augmentation des salaires 2026‑2028 », 29 mars 2026, </w:t>
      </w:r>
      <w:hyperlink w:history="1" r:id="rIdj6xe76-pt9ait4t4fg2eh">
        <w:r>
          <w:rPr>
            <w:rStyle w:val="Hyperlink"/>
            <w:sz w:val="18"/>
            <w:szCs w:val="18"/>
          </w:rPr>
          <w:t xml:space="preserve">https://www.lapresse.tn/2026/03/29/tunisie-details-de-laugmentation-des-salaires-2026-2028/</w:t>
        </w:r>
      </w:hyperlink>
    </w:p>
  </w:footnote>
  <w:footnote w:id="2">
    <w:p>
      <w:r>
        <w:rPr>
          <w:rStyle w:val="FootnoteReference"/>
        </w:rPr>
        <w:footnoteRef/>
      </w:r>
      <w:r>
        <w:rPr>
          <w:sz w:val="18"/>
          <w:szCs w:val="18"/>
        </w:rPr>
        <w:t xml:space="preserve">La Presse, « Le taux d’inflation baisse, le pouvoir d’achat ne s’améliore pas — Analyse de Ridha Chkoundali », 13 février 2026, </w:t>
      </w:r>
      <w:hyperlink w:history="1" r:id="rIdgwm3gmcsz18vc-80sacbz">
        <w:r>
          <w:rPr>
            <w:rStyle w:val="Hyperlink"/>
            <w:sz w:val="18"/>
            <w:szCs w:val="18"/>
          </w:rPr>
          <w:t xml:space="preserve">https://www.lapresse.tn/2026/02/13/le-taux-dinflation-baisse-le-pouvoir-dachat-ne-sameliore-pas-analyse-de-lexpert-economique-ridha-chkoundali/</w:t>
        </w:r>
      </w:hyperlink>
    </w:p>
  </w:footnote>
  <w:footnote w:id="3">
    <w:p>
      <w:r>
        <w:rPr>
          <w:rStyle w:val="FootnoteReference"/>
        </w:rPr>
        <w:footnoteRef/>
      </w:r>
      <w:r>
        <w:rPr>
          <w:sz w:val="18"/>
          <w:szCs w:val="18"/>
        </w:rPr>
        <w:t xml:space="preserve">La Presse, « Appelant à une augmentation salariale, l’UGTT dénonce la hausse des prix », 17 avril 2026, </w:t>
      </w:r>
      <w:hyperlink w:history="1" r:id="rIdzsbhrfkys5b5oexhrrzqv">
        <w:r>
          <w:rPr>
            <w:rStyle w:val="Hyperlink"/>
            <w:sz w:val="18"/>
            <w:szCs w:val="18"/>
          </w:rPr>
          <w:t xml:space="preserve">https://www.lapresse.tn/2026/04/17/appelant-a-une-augmentation-salariale-lugtt-denonce-la-hausse-des-prix-et-la-degradation-des-services-publics/</w:t>
        </w:r>
      </w:hyperlink>
    </w:p>
  </w:footnote>
  <w:footnote w:id="4">
    <w:p>
      <w:r>
        <w:rPr>
          <w:rStyle w:val="FootnoteReference"/>
        </w:rPr>
        <w:footnoteRef/>
      </w:r>
      <w:r>
        <w:rPr>
          <w:sz w:val="18"/>
          <w:szCs w:val="18"/>
        </w:rPr>
        <w:t xml:space="preserve">La Presse, « Détails de l’augmentation des salaires 2026‑2028 », 29 mars 2026, </w:t>
      </w:r>
      <w:hyperlink w:history="1" r:id="rIdkyne0xajtomfijhkytbtv">
        <w:r>
          <w:rPr>
            <w:rStyle w:val="Hyperlink"/>
            <w:sz w:val="18"/>
            <w:szCs w:val="18"/>
          </w:rPr>
          <w:t xml:space="preserve">https://www.lapresse.tn/2026/03/29/tunisie-details-de-laugmentation-des-salaires-2026-2028/</w:t>
        </w:r>
      </w:hyperlink>
    </w:p>
  </w:footnote>
  <w:footnote w:id="5">
    <w:p>
      <w:r>
        <w:rPr>
          <w:rStyle w:val="FootnoteReference"/>
        </w:rPr>
        <w:footnoteRef/>
      </w:r>
      <w:r>
        <w:rPr>
          <w:sz w:val="18"/>
          <w:szCs w:val="18"/>
        </w:rPr>
        <w:t xml:space="preserve">La Presse, « Le taux d’inflation baisse, le pouvoir d’achat ne s’améliore pas — Analyse de Ridha Chkoundali », 13 février 2026, </w:t>
      </w:r>
      <w:hyperlink w:history="1" r:id="rId6h5k8ol43mc5orysaryxw">
        <w:r>
          <w:rPr>
            <w:rStyle w:val="Hyperlink"/>
            <w:sz w:val="18"/>
            <w:szCs w:val="18"/>
          </w:rPr>
          <w:t xml:space="preserve">https://www.lapresse.tn/2026/02/13/le-taux-dinflation-baisse-le-pouvoir-dachat-ne-sameliore-pas-analyse-de-lexpert-economique-ridha-chkoundali/</w:t>
        </w:r>
      </w:hyperlink>
    </w:p>
  </w:footnote>
  <w:footnote w:id="6">
    <w:p>
      <w:r>
        <w:rPr>
          <w:rStyle w:val="FootnoteReference"/>
        </w:rPr>
        <w:footnoteRef/>
      </w:r>
      <w:r>
        <w:rPr>
          <w:sz w:val="18"/>
          <w:szCs w:val="18"/>
        </w:rPr>
        <w:t xml:space="preserve">La Presse, « Appelant à une augmentation salariale, l’UGTT dénonce la hausse des prix », 17 avril 2026, </w:t>
      </w:r>
      <w:hyperlink w:history="1" r:id="rIdbxkcan1_7hpob7tdbbf8z">
        <w:r>
          <w:rPr>
            <w:rStyle w:val="Hyperlink"/>
            <w:sz w:val="18"/>
            <w:szCs w:val="18"/>
          </w:rPr>
          <w:t xml:space="preserve">https://www.lapresse.tn/2026/04/17/appelant-a-une-augmentation-salariale-lugtt-denonce-la-hausse-des-prix-et-la-degradation-des-services-publics/</w:t>
        </w:r>
      </w:hyperlink>
    </w:p>
  </w:footnote>
  <w:footnote w:id="7">
    <w:p>
      <w:r>
        <w:rPr>
          <w:rStyle w:val="FootnoteReference"/>
        </w:rPr>
        <w:footnoteRef/>
      </w:r>
      <w:r>
        <w:rPr>
          <w:sz w:val="18"/>
          <w:szCs w:val="18"/>
        </w:rPr>
        <w:t xml:space="preserve">Webdo, « Augmentations salariales en Tunisie : Quand et comment seront-elles appliquées ? », 25 mars 2026, </w:t>
      </w:r>
      <w:hyperlink w:history="1" r:id="rIddibvrb9ze9jmtsbson0w7">
        <w:r>
          <w:rPr>
            <w:rStyle w:val="Hyperlink"/>
            <w:sz w:val="18"/>
            <w:szCs w:val="18"/>
          </w:rPr>
          <w:t xml:space="preserve">https://www.webdo.tn/fr/actualite/national/augmentations-salariales-en-tunisie-quand-et-comment-seront-elles-appliquees/395161/</w:t>
        </w:r>
      </w:hyperlink>
    </w:p>
  </w:footnote>
  <w:footnote w:id="8">
    <w:p>
      <w:r>
        <w:rPr>
          <w:rStyle w:val="FootnoteReference"/>
        </w:rPr>
        <w:footnoteRef/>
      </w:r>
      <w:r>
        <w:rPr>
          <w:sz w:val="18"/>
          <w:szCs w:val="18"/>
        </w:rPr>
        <w:t xml:space="preserve">La Presse, « Salaires, primes, retraites : ce qui change concrètement dès 2026 », 30 avril 2026, </w:t>
      </w:r>
      <w:hyperlink w:history="1" r:id="rId3im5vlugn9rzt9n_djgbs">
        <w:r>
          <w:rPr>
            <w:rStyle w:val="Hyperlink"/>
            <w:sz w:val="18"/>
            <w:szCs w:val="18"/>
          </w:rPr>
          <w:t xml:space="preserve">https://www.lapresse.tn/2026/04/30/salaires-primes-retraites-ce-qui-change-concretement-des-2026/</w:t>
        </w:r>
      </w:hyperlink>
    </w:p>
  </w:footnote>
  <w:footnote w:id="9">
    <w:p>
      <w:r>
        <w:rPr>
          <w:rStyle w:val="FootnoteReference"/>
        </w:rPr>
        <w:footnoteRef/>
      </w:r>
      <w:r>
        <w:rPr>
          <w:sz w:val="18"/>
          <w:szCs w:val="18"/>
        </w:rPr>
        <w:t xml:space="preserve">Tustex, « Valeur des augmentations des salaires dans la fonction publique et le secteur public », 30 avril 2026, </w:t>
      </w:r>
      <w:hyperlink w:history="1" r:id="rIdx1ljfvs7fj_i3dq07llzk">
        <w:r>
          <w:rPr>
            <w:rStyle w:val="Hyperlink"/>
            <w:sz w:val="18"/>
            <w:szCs w:val="18"/>
          </w:rPr>
          <w:t xml:space="preserve">https://www.tustex.com/economie-actualites-economiques/valeur-des-augmentations-des-salaires-dans-la-fonction-publique-et-le-secteur-public</w:t>
        </w:r>
      </w:hyperlink>
    </w:p>
  </w:footnote>
  <w:footnote w:id="10">
    <w:p>
      <w:r>
        <w:rPr>
          <w:rStyle w:val="FootnoteReference"/>
        </w:rPr>
        <w:footnoteRef/>
      </w:r>
      <w:r>
        <w:rPr>
          <w:sz w:val="18"/>
          <w:szCs w:val="18"/>
        </w:rPr>
        <w:t xml:space="preserve">Tustex, « Valeur des augmentations des salaires dans la fonction publique et le secteur public », 30 avril 2026, </w:t>
      </w:r>
      <w:hyperlink w:history="1" r:id="rIdr-is5s8vuvlalag54numk">
        <w:r>
          <w:rPr>
            <w:rStyle w:val="Hyperlink"/>
            <w:sz w:val="18"/>
            <w:szCs w:val="18"/>
          </w:rPr>
          <w:t xml:space="preserve">https://www.tustex.com/economie-actualites-economiques/valeur-des-augmentations-des-salaires-dans-la-fonction-publique-et-le-secteur-public</w:t>
        </w:r>
      </w:hyperlink>
    </w:p>
  </w:footnote>
  <w:footnote w:id="11">
    <w:p>
      <w:r>
        <w:rPr>
          <w:rStyle w:val="FootnoteReference"/>
        </w:rPr>
        <w:footnoteRef/>
      </w:r>
      <w:r>
        <w:rPr>
          <w:sz w:val="18"/>
          <w:szCs w:val="18"/>
        </w:rPr>
        <w:t xml:space="preserve">La Presse, « Détails de l’augmentation des salaires 2026‑2028 », 29 mars 2026, </w:t>
      </w:r>
      <w:hyperlink w:history="1" r:id="rIdbvlja88msyo7q2gwnrnpd">
        <w:r>
          <w:rPr>
            <w:rStyle w:val="Hyperlink"/>
            <w:sz w:val="18"/>
            <w:szCs w:val="18"/>
          </w:rPr>
          <w:t xml:space="preserve">https://www.lapresse.tn/2026/03/29/tunisie-details-de-laugmentation-des-salaires-2026-2028/</w:t>
        </w:r>
      </w:hyperlink>
    </w:p>
  </w:footnote>
  <w:footnote w:id="12">
    <w:p>
      <w:r>
        <w:rPr>
          <w:rStyle w:val="FootnoteReference"/>
        </w:rPr>
        <w:footnoteRef/>
      </w:r>
      <w:r>
        <w:rPr>
          <w:sz w:val="18"/>
          <w:szCs w:val="18"/>
        </w:rPr>
        <w:t xml:space="preserve">La Presse, « Salaires, primes, retraites : ce qui change concrètement dès 2026 », 30 avril 2026, </w:t>
      </w:r>
      <w:hyperlink w:history="1" r:id="rIdv9zbmnkt1ba9044rnmcmv">
        <w:r>
          <w:rPr>
            <w:rStyle w:val="Hyperlink"/>
            <w:sz w:val="18"/>
            <w:szCs w:val="18"/>
          </w:rPr>
          <w:t xml:space="preserve">https://www.lapresse.tn/2026/04/30/salaires-primes-retraites-ce-qui-change-concretement-des-2026/</w:t>
        </w:r>
      </w:hyperlink>
    </w:p>
  </w:footnote>
  <w:footnote w:id="13">
    <w:p>
      <w:r>
        <w:rPr>
          <w:rStyle w:val="FootnoteReference"/>
        </w:rPr>
        <w:footnoteRef/>
      </w:r>
      <w:r>
        <w:rPr>
          <w:sz w:val="18"/>
          <w:szCs w:val="18"/>
        </w:rPr>
        <w:t xml:space="preserve">Webdo, « Augmentations salariales en Tunisie : Quand et comment seront-elles appliquées ? », 25 mars 2026, </w:t>
      </w:r>
      <w:hyperlink w:history="1" r:id="rIdqcmiyt6qnt1tf4gnrakuo">
        <w:r>
          <w:rPr>
            <w:rStyle w:val="Hyperlink"/>
            <w:sz w:val="18"/>
            <w:szCs w:val="18"/>
          </w:rPr>
          <w:t xml:space="preserve">https://www.webdo.tn/fr/actualite/national/augmentations-salariales-en-tunisie-quand-et-comment-seront-elles-appliquees/395161/</w:t>
        </w:r>
      </w:hyperlink>
    </w:p>
  </w:footnote>
  <w:footnote w:id="14">
    <w:p>
      <w:r>
        <w:rPr>
          <w:rStyle w:val="FootnoteReference"/>
        </w:rPr>
        <w:footnoteRef/>
      </w:r>
      <w:r>
        <w:rPr>
          <w:sz w:val="18"/>
          <w:szCs w:val="18"/>
        </w:rPr>
        <w:t xml:space="preserve">La Presse, « Appelant à une augmentation salariale, l’UGTT dénonce la hausse des prix », 17 avril 2026, </w:t>
      </w:r>
      <w:hyperlink w:history="1" r:id="rIddez1fmzvifveukk5hvzpo">
        <w:r>
          <w:rPr>
            <w:rStyle w:val="Hyperlink"/>
            <w:sz w:val="18"/>
            <w:szCs w:val="18"/>
          </w:rPr>
          <w:t xml:space="preserve">https://www.lapresse.tn/2026/04/17/appelant-a-une-augmentation-salariale-lugtt-denonce-la-hausse-des-prix-et-la-degradation-des-services-publics/</w:t>
        </w:r>
      </w:hyperlink>
    </w:p>
  </w:footnote>
  <w:footnote w:id="15">
    <w:p>
      <w:r>
        <w:rPr>
          <w:rStyle w:val="FootnoteReference"/>
        </w:rPr>
        <w:footnoteRef/>
      </w:r>
      <w:r>
        <w:rPr>
          <w:sz w:val="18"/>
          <w:szCs w:val="18"/>
        </w:rPr>
        <w:t xml:space="preserve">Le Temps, « Majoration des salaires dans les secteurs public et privé : vers des augmentations unifiées de 6 % d’ici le 1er mai », 26 mars 2026, </w:t>
      </w:r>
      <w:hyperlink w:history="1" r:id="rIdr6grzid7sxjhil8qevepz">
        <w:r>
          <w:rPr>
            <w:rStyle w:val="Hyperlink"/>
            <w:sz w:val="18"/>
            <w:szCs w:val="18"/>
          </w:rPr>
          <w:t xml:space="preserve">https://letemps.news/2026/03/26/majoration-des-salaires-dans-les-secteurs-public-et-prive-vers-des-augmentations-unifiees-de-6-dici-le-1er-mai/</w:t>
        </w:r>
      </w:hyperlink>
    </w:p>
  </w:footnote>
  <w:footnote w:id="16">
    <w:p>
      <w:r>
        <w:rPr>
          <w:rStyle w:val="FootnoteReference"/>
        </w:rPr>
        <w:footnoteRef/>
      </w:r>
      <w:r>
        <w:rPr>
          <w:sz w:val="18"/>
          <w:szCs w:val="18"/>
        </w:rPr>
        <w:t xml:space="preserve">Le Temps, « Majoration des salaires dans les secteurs public et privé : vers des augmentations unifiées de 6 % d’ici le 1er mai », 26 mars 2026, </w:t>
      </w:r>
      <w:hyperlink w:history="1" r:id="rId-pydrygsfl7wd3spunx_s">
        <w:r>
          <w:rPr>
            <w:rStyle w:val="Hyperlink"/>
            <w:sz w:val="18"/>
            <w:szCs w:val="18"/>
          </w:rPr>
          <w:t xml:space="preserve">https://letemps.news/2026/03/26/majoration-des-salaires-dans-les-secteurs-public-et-prive-vers-des-augmentations-unifiees-de-6-dici-le-1er-mai/</w:t>
        </w:r>
      </w:hyperlink>
    </w:p>
  </w:footnote>
  <w:footnote w:id="17">
    <w:p>
      <w:r>
        <w:rPr>
          <w:rStyle w:val="FootnoteReference"/>
        </w:rPr>
        <w:footnoteRef/>
      </w:r>
      <w:r>
        <w:rPr>
          <w:sz w:val="18"/>
          <w:szCs w:val="18"/>
        </w:rPr>
        <w:t xml:space="preserve">Business News, « Smig et Smag en hausse : ce que prévoient les nouveaux décrets », 30 avril 2026, </w:t>
      </w:r>
      <w:hyperlink w:history="1" r:id="rIdiyk6m04rp1wlldpjdynfd">
        <w:r>
          <w:rPr>
            <w:rStyle w:val="Hyperlink"/>
            <w:sz w:val="18"/>
            <w:szCs w:val="18"/>
          </w:rPr>
          <w:t xml:space="preserve">https://businessnews.com.tn/2026/04/30/tunisie-le-smig-revu-a-la-hausse/1399410/</w:t>
        </w:r>
      </w:hyperlink>
    </w:p>
  </w:footnote>
  <w:footnote w:id="18">
    <w:p>
      <w:r>
        <w:rPr>
          <w:rStyle w:val="FootnoteReference"/>
        </w:rPr>
        <w:footnoteRef/>
      </w:r>
      <w:r>
        <w:rPr>
          <w:sz w:val="18"/>
          <w:szCs w:val="18"/>
        </w:rPr>
        <w:t xml:space="preserve">La Presse, « Salaires, primes, retraites : ce qui change concrètement dès 2026 », 30 avril 2026, </w:t>
      </w:r>
      <w:hyperlink w:history="1" r:id="rIdfstgnodo0gknsrdnsgbsa">
        <w:r>
          <w:rPr>
            <w:rStyle w:val="Hyperlink"/>
            <w:sz w:val="18"/>
            <w:szCs w:val="18"/>
          </w:rPr>
          <w:t xml:space="preserve">https://www.lapresse.tn/2026/04/30/salaires-primes-retraites-ce-qui-change-concretement-des-2026/</w:t>
        </w:r>
      </w:hyperlink>
    </w:p>
  </w:footnote>
  <w:footnote w:id="19">
    <w:p>
      <w:r>
        <w:rPr>
          <w:rStyle w:val="FootnoteReference"/>
        </w:rPr>
        <w:footnoteRef/>
      </w:r>
      <w:r>
        <w:rPr>
          <w:sz w:val="18"/>
          <w:szCs w:val="18"/>
        </w:rPr>
        <w:t xml:space="preserve">Business News, « Retraites : les pensions indexées sur les augmentations salariales dans le public et le privé », 30 avril 2026, </w:t>
      </w:r>
      <w:hyperlink w:history="1" r:id="rIds0bwlne6xxotk-1_e6hjg">
        <w:r>
          <w:rPr>
            <w:rStyle w:val="Hyperlink"/>
            <w:sz w:val="18"/>
            <w:szCs w:val="18"/>
          </w:rPr>
          <w:t xml:space="preserve">https://businessnews.com.tn/2026/04/30/retraites-les-pensions-indexees-sur-les-augmentations-salariales-dans-le-public-et-le-prive/1399419/</w:t>
        </w:r>
      </w:hyperlink>
    </w:p>
  </w:footnote>
  <w:footnote w:id="20">
    <w:p>
      <w:r>
        <w:rPr>
          <w:rStyle w:val="FootnoteReference"/>
        </w:rPr>
        <w:footnoteRef/>
      </w:r>
      <w:r>
        <w:rPr>
          <w:sz w:val="18"/>
          <w:szCs w:val="18"/>
        </w:rPr>
        <w:t xml:space="preserve">Business News, « Retraites : les pensions indexées sur les augmentations salariales dans le public et le privé », 30 avril 2026, </w:t>
      </w:r>
      <w:hyperlink w:history="1" r:id="rId4gpuoau8uqh-edvn0hgz3">
        <w:r>
          <w:rPr>
            <w:rStyle w:val="Hyperlink"/>
            <w:sz w:val="18"/>
            <w:szCs w:val="18"/>
          </w:rPr>
          <w:t xml:space="preserve">https://businessnews.com.tn/2026/04/30/retraites-les-pensions-indexees-sur-les-augmentations-salariales-dans-le-public-et-le-prive/1399419/</w:t>
        </w:r>
      </w:hyperlink>
    </w:p>
  </w:footnote>
  <w:footnote w:id="21">
    <w:p>
      <w:r>
        <w:rPr>
          <w:rStyle w:val="FootnoteReference"/>
        </w:rPr>
        <w:footnoteRef/>
      </w:r>
      <w:r>
        <w:rPr>
          <w:sz w:val="18"/>
          <w:szCs w:val="18"/>
        </w:rPr>
        <w:t xml:space="preserve">Paie-Tunisie, « Barème d’imposition du revenu en Tunisie à partir de 2025 », </w:t>
      </w:r>
      <w:hyperlink w:history="1" r:id="rIdfqzkcrcwtvwtuxfb4rtdg">
        <w:r>
          <w:rPr>
            <w:rStyle w:val="Hyperlink"/>
            <w:sz w:val="18"/>
            <w:szCs w:val="18"/>
          </w:rPr>
          <w:t xml:space="preserve">https://paie-tunisie.com/412/fr/232/publications/bareme-d-imposition-du-revenu-en-tunisie-a-partir-de-2025</w:t>
        </w:r>
      </w:hyperlink>
    </w:p>
  </w:footnote>
  <w:footnote w:id="22">
    <w:p>
      <w:r>
        <w:rPr>
          <w:rStyle w:val="FootnoteReference"/>
        </w:rPr>
        <w:footnoteRef/>
      </w:r>
      <w:r>
        <w:rPr>
          <w:sz w:val="18"/>
          <w:szCs w:val="18"/>
        </w:rPr>
        <w:t xml:space="preserve">L’Économiste Maghrébin, « Pouvoir d’achat en Tunisie : aux limites des indicateurs en 2025 », 22 décembre 2025, </w:t>
      </w:r>
      <w:hyperlink w:history="1" r:id="rIdp80wqscpfb0iebe5z2o48">
        <w:r>
          <w:rPr>
            <w:rStyle w:val="Hyperlink"/>
            <w:sz w:val="18"/>
            <w:szCs w:val="18"/>
          </w:rPr>
          <w:t xml:space="preserve">https://www.leconomistemaghrebin.com/2025/12/22/pouvoir-achat-tunisie-limites-indicateurs-mesures-concretes/</w:t>
        </w:r>
      </w:hyperlink>
    </w:p>
  </w:footnote>
  <w:footnote w:id="23">
    <w:p>
      <w:r>
        <w:rPr>
          <w:rStyle w:val="FootnoteReference"/>
        </w:rPr>
        <w:footnoteRef/>
      </w:r>
      <w:r>
        <w:rPr>
          <w:sz w:val="18"/>
          <w:szCs w:val="18"/>
        </w:rPr>
        <w:t xml:space="preserve">La Presse, « Le taux d’inflation baisse, le pouvoir d’achat ne s’améliore pas — Analyse de Ridha Chkoundali », 13 février 2026, </w:t>
      </w:r>
      <w:hyperlink w:history="1" r:id="rIdxkls4b4mutzq7wcuslako">
        <w:r>
          <w:rPr>
            <w:rStyle w:val="Hyperlink"/>
            <w:sz w:val="18"/>
            <w:szCs w:val="18"/>
          </w:rPr>
          <w:t xml:space="preserve">https://www.lapresse.tn/2026/02/13/le-taux-dinflation-baisse-le-pouvoir-dachat-ne-sameliore-pas-analyse-de-lexpert-economique-ridha-chkoundali/</w:t>
        </w:r>
      </w:hyperlink>
    </w:p>
  </w:footnote>
  <w:footnote w:id="24">
    <w:p>
      <w:r>
        <w:rPr>
          <w:rStyle w:val="FootnoteReference"/>
        </w:rPr>
        <w:footnoteRef/>
      </w:r>
      <w:r>
        <w:rPr>
          <w:sz w:val="18"/>
          <w:szCs w:val="18"/>
        </w:rPr>
        <w:t xml:space="preserve">Webdo, « Article 15 de la Loi de finances : Des députés proposent une hausse salariale minimale de 7 % », 29 novembre 2025, </w:t>
      </w:r>
      <w:hyperlink w:history="1" r:id="rId2ppjzfg7vr-ue73fnuith">
        <w:r>
          <w:rPr>
            <w:rStyle w:val="Hyperlink"/>
            <w:sz w:val="18"/>
            <w:szCs w:val="18"/>
          </w:rPr>
          <w:t xml:space="preserve">https://www.webdo.tn/fr/actualite/national/article-15-de-la-loi-de-finances-des-deputes-proposent-une-hausse-salariale-minimale-de-7/388563/</w:t>
        </w:r>
      </w:hyperlink>
    </w:p>
  </w:footnote>
  <w:footnote w:id="25">
    <w:p>
      <w:r>
        <w:rPr>
          <w:rStyle w:val="FootnoteReference"/>
        </w:rPr>
        <w:footnoteRef/>
      </w:r>
      <w:r>
        <w:rPr>
          <w:sz w:val="18"/>
          <w:szCs w:val="18"/>
        </w:rPr>
        <w:t xml:space="preserve">La Presse, « Salaires, primes, retraites : ce qui change concrètement dès 2026 », 30 avril 2026, </w:t>
      </w:r>
      <w:hyperlink w:history="1" r:id="rIdaf-3yrqqvfisrdxlrq0dr">
        <w:r>
          <w:rPr>
            <w:rStyle w:val="Hyperlink"/>
            <w:sz w:val="18"/>
            <w:szCs w:val="18"/>
          </w:rPr>
          <w:t xml:space="preserve">https://www.lapresse.tn/2026/04/30/salaires-primes-retraites-ce-qui-change-concretement-des-2026/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7A7974"/>
        <w:sz w:val="18"/>
        <w:szCs w:val="18"/>
      </w:rPr>
      <w:t xml:space="preserve">Livre blanc · Augmentations salariales en Tunisie 2026‑2028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80"/>
      <w:outlineLvl w:val="0"/>
    </w:pPr>
    <w:rPr>
      <w:rFonts w:ascii="Calibri" w:cs="Calibri" w:eastAsia="Calibri" w:hAnsi="Calibri"/>
      <w:b/>
      <w:bCs/>
      <w:color w:val="01696F"/>
      <w:sz w:val="36"/>
      <w:szCs w:val="36"/>
    </w:rPr>
  </w:style>
  <w:style w:type="paragraph" w:styleId="Heading2">
    <w:name w:val="Heading 2"/>
    <w:basedOn w:val="Normal"/>
    <w:next w:val="Normal"/>
    <w:qFormat/>
    <w:pPr>
      <w:spacing w:after="140" w:before="240"/>
      <w:outlineLvl w:val="1"/>
    </w:pPr>
    <w:rPr>
      <w:rFonts w:ascii="Calibri" w:cs="Calibri" w:eastAsia="Calibri" w:hAnsi="Calibri"/>
      <w:b/>
      <w:bCs/>
      <w:color w:val="28251D"/>
      <w:sz w:val="28"/>
      <w:szCs w:val="28"/>
    </w:rPr>
  </w:style>
  <w:style w:type="paragraph" w:styleId="Heading3">
    <w:name w:val="Heading 3"/>
    <w:basedOn w:val="Normal"/>
    <w:next w:val="Normal"/>
    <w:qFormat/>
    <w:pPr>
      <w:spacing w:after="100" w:before="200"/>
      <w:outlineLvl w:val="2"/>
    </w:pPr>
    <w:rPr>
      <w:rFonts w:ascii="Calibri" w:cs="Calibri" w:eastAsia="Calibri" w:hAnsi="Calibri"/>
      <w:b/>
      <w:bCs/>
      <w:color w:val="01696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Relationship Id="rIdj6xe76-pt9ait4t4fg2eh" Type="http://schemas.openxmlformats.org/officeDocument/2006/relationships/hyperlink" Target="https://www.lapresse.tn/2026/03/29/tunisie-details-de-laugmentation-des-salaires-2026-2028/" TargetMode="External"/><Relationship Id="rIdgwm3gmcsz18vc-80sacbz" Type="http://schemas.openxmlformats.org/officeDocument/2006/relationships/hyperlink" Target="https://www.lapresse.tn/2026/02/13/le-taux-dinflation-baisse-le-pouvoir-dachat-ne-sameliore-pas-analyse-de-lexpert-economique-ridha-chkoundali/" TargetMode="External"/><Relationship Id="rIdzsbhrfkys5b5oexhrrzqv" Type="http://schemas.openxmlformats.org/officeDocument/2006/relationships/hyperlink" Target="https://www.lapresse.tn/2026/04/17/appelant-a-une-augmentation-salariale-lugtt-denonce-la-hausse-des-prix-et-la-degradation-des-services-publics/" TargetMode="External"/><Relationship Id="rIdkyne0xajtomfijhkytbtv" Type="http://schemas.openxmlformats.org/officeDocument/2006/relationships/hyperlink" Target="https://www.lapresse.tn/2026/03/29/tunisie-details-de-laugmentation-des-salaires-2026-2028/" TargetMode="External"/><Relationship Id="rId6h5k8ol43mc5orysaryxw" Type="http://schemas.openxmlformats.org/officeDocument/2006/relationships/hyperlink" Target="https://www.lapresse.tn/2026/02/13/le-taux-dinflation-baisse-le-pouvoir-dachat-ne-sameliore-pas-analyse-de-lexpert-economique-ridha-chkoundali/" TargetMode="External"/><Relationship Id="rIdbxkcan1_7hpob7tdbbf8z" Type="http://schemas.openxmlformats.org/officeDocument/2006/relationships/hyperlink" Target="https://www.lapresse.tn/2026/04/17/appelant-a-une-augmentation-salariale-lugtt-denonce-la-hausse-des-prix-et-la-degradation-des-services-publics/" TargetMode="External"/><Relationship Id="rIddibvrb9ze9jmtsbson0w7" Type="http://schemas.openxmlformats.org/officeDocument/2006/relationships/hyperlink" Target="https://www.webdo.tn/fr/actualite/national/augmentations-salariales-en-tunisie-quand-et-comment-seront-elles-appliquees/395161/" TargetMode="External"/><Relationship Id="rId3im5vlugn9rzt9n_djgbs" Type="http://schemas.openxmlformats.org/officeDocument/2006/relationships/hyperlink" Target="https://www.lapresse.tn/2026/04/30/salaires-primes-retraites-ce-qui-change-concretement-des-2026/" TargetMode="External"/><Relationship Id="rIdx1ljfvs7fj_i3dq07llzk" Type="http://schemas.openxmlformats.org/officeDocument/2006/relationships/hyperlink" Target="https://www.tustex.com/economie-actualites-economiques/valeur-des-augmentations-des-salaires-dans-la-fonction-publique-et-le-secteur-public" TargetMode="External"/><Relationship Id="rIdr-is5s8vuvlalag54numk" Type="http://schemas.openxmlformats.org/officeDocument/2006/relationships/hyperlink" Target="https://www.tustex.com/economie-actualites-economiques/valeur-des-augmentations-des-salaires-dans-la-fonction-publique-et-le-secteur-public" TargetMode="External"/><Relationship Id="rIdbvlja88msyo7q2gwnrnpd" Type="http://schemas.openxmlformats.org/officeDocument/2006/relationships/hyperlink" Target="https://www.lapresse.tn/2026/03/29/tunisie-details-de-laugmentation-des-salaires-2026-2028/" TargetMode="External"/><Relationship Id="rIdv9zbmnkt1ba9044rnmcmv" Type="http://schemas.openxmlformats.org/officeDocument/2006/relationships/hyperlink" Target="https://www.lapresse.tn/2026/04/30/salaires-primes-retraites-ce-qui-change-concretement-des-2026/" TargetMode="External"/><Relationship Id="rIdqcmiyt6qnt1tf4gnrakuo" Type="http://schemas.openxmlformats.org/officeDocument/2006/relationships/hyperlink" Target="https://www.webdo.tn/fr/actualite/national/augmentations-salariales-en-tunisie-quand-et-comment-seront-elles-appliquees/395161/" TargetMode="External"/><Relationship Id="rIddez1fmzvifveukk5hvzpo" Type="http://schemas.openxmlformats.org/officeDocument/2006/relationships/hyperlink" Target="https://www.lapresse.tn/2026/04/17/appelant-a-une-augmentation-salariale-lugtt-denonce-la-hausse-des-prix-et-la-degradation-des-services-publics/" TargetMode="External"/><Relationship Id="rIdr6grzid7sxjhil8qevepz" Type="http://schemas.openxmlformats.org/officeDocument/2006/relationships/hyperlink" Target="https://letemps.news/2026/03/26/majoration-des-salaires-dans-les-secteurs-public-et-prive-vers-des-augmentations-unifiees-de-6-dici-le-1er-mai/" TargetMode="External"/><Relationship Id="rId-pydrygsfl7wd3spunx_s" Type="http://schemas.openxmlformats.org/officeDocument/2006/relationships/hyperlink" Target="https://letemps.news/2026/03/26/majoration-des-salaires-dans-les-secteurs-public-et-prive-vers-des-augmentations-unifiees-de-6-dici-le-1er-mai/" TargetMode="External"/><Relationship Id="rIdiyk6m04rp1wlldpjdynfd" Type="http://schemas.openxmlformats.org/officeDocument/2006/relationships/hyperlink" Target="https://businessnews.com.tn/2026/04/30/tunisie-le-smig-revu-a-la-hausse/1399410/" TargetMode="External"/><Relationship Id="rIdfstgnodo0gknsrdnsgbsa" Type="http://schemas.openxmlformats.org/officeDocument/2006/relationships/hyperlink" Target="https://www.lapresse.tn/2026/04/30/salaires-primes-retraites-ce-qui-change-concretement-des-2026/" TargetMode="External"/><Relationship Id="rIds0bwlne6xxotk-1_e6hjg" Type="http://schemas.openxmlformats.org/officeDocument/2006/relationships/hyperlink" Target="https://businessnews.com.tn/2026/04/30/retraites-les-pensions-indexees-sur-les-augmentations-salariales-dans-le-public-et-le-prive/1399419/" TargetMode="External"/><Relationship Id="rId4gpuoau8uqh-edvn0hgz3" Type="http://schemas.openxmlformats.org/officeDocument/2006/relationships/hyperlink" Target="https://businessnews.com.tn/2026/04/30/retraites-les-pensions-indexees-sur-les-augmentations-salariales-dans-le-public-et-le-prive/1399419/" TargetMode="External"/><Relationship Id="rIdfqzkcrcwtvwtuxfb4rtdg" Type="http://schemas.openxmlformats.org/officeDocument/2006/relationships/hyperlink" Target="https://paie-tunisie.com/412/fr/232/publications/bareme-d-imposition-du-revenu-en-tunisie-a-partir-de-2025" TargetMode="External"/><Relationship Id="rIdp80wqscpfb0iebe5z2o48" Type="http://schemas.openxmlformats.org/officeDocument/2006/relationships/hyperlink" Target="https://www.leconomistemaghrebin.com/2025/12/22/pouvoir-achat-tunisie-limites-indicateurs-mesures-concretes/" TargetMode="External"/><Relationship Id="rIdxkls4b4mutzq7wcuslako" Type="http://schemas.openxmlformats.org/officeDocument/2006/relationships/hyperlink" Target="https://www.lapresse.tn/2026/02/13/le-taux-dinflation-baisse-le-pouvoir-dachat-ne-sameliore-pas-analyse-de-lexpert-economique-ridha-chkoundali/" TargetMode="External"/><Relationship Id="rId2ppjzfg7vr-ue73fnuith" Type="http://schemas.openxmlformats.org/officeDocument/2006/relationships/hyperlink" Target="https://www.webdo.tn/fr/actualite/national/article-15-de-la-loi-de-finances-des-deputes-proposent-une-hausse-salariale-minimale-de-7/388563/" TargetMode="External"/><Relationship Id="rIdaf-3yrqqvfisrdxlrq0dr" Type="http://schemas.openxmlformats.org/officeDocument/2006/relationships/hyperlink" Target="https://www.lapresse.tn/2026/04/30/salaires-primes-retraites-ce-qui-change-concretement-des-2026/" TargetMode="External"/></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blanc — Augmentations salariales en Tunisie 2026‑2028</dc:title>
  <dc:creator>Anis Bhar</dc:creator>
  <dc:description>Analyse des nouvelles augmentations salariales prévues en Tunisie</dc:description>
  <cp:lastModifiedBy>Un-named</cp:lastModifiedBy>
  <cp:revision>1</cp:revision>
  <dcterms:created xsi:type="dcterms:W3CDTF">2026-05-08T12:18:45.805Z</dcterms:created>
  <dcterms:modified xsi:type="dcterms:W3CDTF">2026-05-08T12:18:45.805Z</dcterms:modified>
</cp:coreProperties>
</file>

<file path=docProps/custom.xml><?xml version="1.0" encoding="utf-8"?>
<Properties xmlns="http://schemas.openxmlformats.org/officeDocument/2006/custom-properties" xmlns:vt="http://schemas.openxmlformats.org/officeDocument/2006/docPropsVTypes"/>
</file>